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Date"/>
      </w:pPr>
      <w:r>
        <w:t xml:space="preserve">2026-07-07</w:t>
      </w:r>
    </w:p>
    <w:bookmarkStart w:id="22" w:name="X4538f3b7be572fd68c80d42b65c0111150aa432"/>
    <w:p>
      <w:pPr>
        <w:pStyle w:val="Heading1"/>
      </w:pPr>
      <w:r>
        <w:t xml:space="preserve">STTIL Solutions Mutual Non-Disclosure Agreement (Template v3)</w:t>
      </w:r>
    </w:p>
    <w:p>
      <w:pPr>
        <w:pStyle w:val="BlockText"/>
      </w:pPr>
      <w:r>
        <w:rPr>
          <w:b/>
          <w:bCs/>
        </w:rPr>
        <w:t xml:space="preserve">DRAFT, for attorney review before use. Not legal advice.</w:t>
      </w:r>
      <w:r>
        <w:t xml:space="preserve"> </w:t>
      </w:r>
      <w:r>
        <w:t xml:space="preserve">Prepared 2026-07-07. Covers the STTIL Solutions portfolio (Signal, Vitality Med Tracker, UMSIS, and any current or future STTIL Solutions offering).</w:t>
      </w:r>
    </w:p>
    <w:p>
      <w:r>
        <w:pict>
          <v:rect style="width:0;height:1.5pt" o:hralign="center" o:hrstd="t" o:hr="t"/>
        </w:pict>
      </w:r>
    </w:p>
    <w:p>
      <w:pPr>
        <w:pStyle w:val="FirstParagraph"/>
      </w:pPr>
      <w:r>
        <w:t xml:space="preserve">MUTUAL NON-DISCLOSURE AGREEMENT</w:t>
      </w:r>
    </w:p>
    <w:p>
      <w:pPr>
        <w:pStyle w:val="BodyText"/>
      </w:pPr>
      <w:r>
        <w:t xml:space="preserve">This Mutual Non-Disclosure Agreement (</w:t>
      </w:r>
      <w:r>
        <w:t xml:space="preserve">“Agreement”</w:t>
      </w:r>
      <w:r>
        <w:t xml:space="preserve">) is entered into as of [DATE] (</w:t>
      </w:r>
      <w:r>
        <w:t xml:space="preserve">“Effective Date”</w:t>
      </w:r>
      <w:r>
        <w:t xml:space="preserve">) by and between:</w:t>
      </w:r>
    </w:p>
    <w:p>
      <w:pPr>
        <w:pStyle w:val="BodyText"/>
      </w:pPr>
      <w:r>
        <w:t xml:space="preserve">KJF Professional Services LLC, doing business as STTIL Solutions, a Florida limited liability company, with its principal place of business at [ADDRESS] (</w:t>
      </w:r>
      <w:r>
        <w:t xml:space="preserve">“STTIL Solutions”</w:t>
      </w:r>
      <w:r>
        <w:t xml:space="preserve"> </w:t>
      </w:r>
      <w:r>
        <w:t xml:space="preserve">or</w:t>
      </w:r>
      <w:r>
        <w:t xml:space="preserve"> </w:t>
      </w:r>
      <w:r>
        <w:t xml:space="preserve">“Party A”</w:t>
      </w:r>
      <w:r>
        <w:t xml:space="preserve">),</w:t>
      </w:r>
    </w:p>
    <w:p>
      <w:pPr>
        <w:pStyle w:val="BodyText"/>
      </w:pPr>
      <w:r>
        <w:t xml:space="preserve">and</w:t>
      </w:r>
    </w:p>
    <w:p>
      <w:pPr>
        <w:pStyle w:val="BodyText"/>
      </w:pPr>
      <w:r>
        <w:t xml:space="preserve">[PARTY B FULL LEGAL NAME], a [entity type and state of formation], with its principal place of business at [ADDRESS] (</w:t>
      </w:r>
      <w:r>
        <w:t xml:space="preserve">“Party B”</w:t>
      </w:r>
      <w:r>
        <w:t xml:space="preserve">).</w:t>
      </w:r>
    </w:p>
    <w:p>
      <w:pPr>
        <w:pStyle w:val="BodyText"/>
      </w:pPr>
      <w:r>
        <w:t xml:space="preserve">STTIL Solutions and Party B are each referred to individually as a</w:t>
      </w:r>
      <w:r>
        <w:t xml:space="preserve"> </w:t>
      </w:r>
      <w:r>
        <w:t xml:space="preserve">“Party”</w:t>
      </w:r>
      <w:r>
        <w:t xml:space="preserve"> </w:t>
      </w:r>
      <w:r>
        <w:t xml:space="preserve">and collectively as the</w:t>
      </w:r>
      <w:r>
        <w:t xml:space="preserve"> </w:t>
      </w:r>
      <w:r>
        <w:t xml:space="preserve">“Parties.”</w:t>
      </w:r>
    </w:p>
    <w:p>
      <w:r>
        <w:pict>
          <v:rect style="width:0;height:1.5pt" o:hralign="center" o:hrstd="t" o:hr="t"/>
        </w:pict>
      </w:r>
    </w:p>
    <w:bookmarkStart w:id="9" w:name="recitals"/>
    <w:p>
      <w:pPr>
        <w:pStyle w:val="Heading2"/>
      </w:pPr>
      <w:r>
        <w:t xml:space="preserve">RECITALS</w:t>
      </w:r>
    </w:p>
    <w:p>
      <w:pPr>
        <w:pStyle w:val="FirstParagraph"/>
      </w:pPr>
      <w:r>
        <w:t xml:space="preserve">The Parties wish to explore a potential business relationship, including but not limited to a pilot program, partnership, investment, advisory arrangement, or commercial integration (the</w:t>
      </w:r>
      <w:r>
        <w:t xml:space="preserve"> </w:t>
      </w:r>
      <w:r>
        <w:t xml:space="preserve">“Purpose”</w:t>
      </w:r>
      <w:r>
        <w:t xml:space="preserve">). In connection with the Purpose, each Party may disclose certain confidential and proprietary information to the other. This Agreement establishes the terms under which that information will be protected.</w:t>
      </w:r>
    </w:p>
    <w:p>
      <w:r>
        <w:pict>
          <v:rect style="width:0;height:1.5pt" o:hralign="center" o:hrstd="t" o:hr="t"/>
        </w:pict>
      </w:r>
    </w:p>
    <w:bookmarkEnd w:id="9"/>
    <w:bookmarkStart w:id="10" w:name="article-1.-definitions"/>
    <w:p>
      <w:pPr>
        <w:pStyle w:val="Heading2"/>
      </w:pPr>
      <w:r>
        <w:t xml:space="preserve">ARTICLE 1. DEFINITIONS</w:t>
      </w:r>
    </w:p>
    <w:p>
      <w:pPr>
        <w:pStyle w:val="FirstParagraph"/>
      </w:pPr>
      <w:r>
        <w:t xml:space="preserve">1.1</w:t>
      </w:r>
      <w:r>
        <w:t xml:space="preserve"> </w:t>
      </w:r>
      <w:r>
        <w:t xml:space="preserve">“Confidential Information”</w:t>
      </w:r>
      <w:r>
        <w:t xml:space="preserve"> </w:t>
      </w:r>
      <w:r>
        <w:t xml:space="preserve">means any non-public information disclosed by one Party (the</w:t>
      </w:r>
      <w:r>
        <w:t xml:space="preserve"> </w:t>
      </w:r>
      <w:r>
        <w:t xml:space="preserve">“Disclosing Party”</w:t>
      </w:r>
      <w:r>
        <w:t xml:space="preserve">) to the other Party (the</w:t>
      </w:r>
      <w:r>
        <w:t xml:space="preserve"> </w:t>
      </w:r>
      <w:r>
        <w:t xml:space="preserve">“Receiving Party”</w:t>
      </w:r>
      <w:r>
        <w:t xml:space="preserve">), whether disclosed orally, in writing, electronically, visually, or by any other means, that is designated as confidential at the time of disclosure or that reasonably should be understood to be confidential given the nature of the information and the circumstances of disclosure.</w:t>
      </w:r>
    </w:p>
    <w:p>
      <w:pPr>
        <w:pStyle w:val="BodyText"/>
      </w:pPr>
      <w:r>
        <w:t xml:space="preserve">Confidential Information includes, without limitation:</w:t>
      </w:r>
    </w:p>
    <w:p>
      <w:pPr>
        <w:numPr>
          <w:ilvl w:val="0"/>
          <w:numId w:val="1001"/>
        </w:numPr>
      </w:pPr>
      <w:r>
        <w:t xml:space="preserve">business plans, financial projections, revenue models, pricing strategies, and investor materials;</w:t>
      </w:r>
    </w:p>
    <w:p>
      <w:pPr>
        <w:numPr>
          <w:ilvl w:val="0"/>
          <w:numId w:val="1001"/>
        </w:numPr>
      </w:pPr>
      <w:r>
        <w:t xml:space="preserve">product architecture, software designs, source code, algorithms, proprietary rule sets, payer coverage logic, documentation readiness methodologies, worklist frameworks, and workflow automation designs;</w:t>
      </w:r>
    </w:p>
    <w:p>
      <w:pPr>
        <w:numPr>
          <w:ilvl w:val="0"/>
          <w:numId w:val="1001"/>
        </w:numPr>
      </w:pPr>
      <w:r>
        <w:t xml:space="preserve">technical specifications, product roadmaps, and unreleased features relating to any STTIL Solutions product or pipeline initiative, including Signal, Vitality Med Tracker, UMSIS, and any other current or future STTIL Solutions offering;</w:t>
      </w:r>
    </w:p>
    <w:p>
      <w:pPr>
        <w:numPr>
          <w:ilvl w:val="0"/>
          <w:numId w:val="1001"/>
        </w:numPr>
      </w:pPr>
      <w:r>
        <w:t xml:space="preserve">customer lists, pilot participant identities, sales pipeline information, and contract terms;</w:t>
      </w:r>
    </w:p>
    <w:p>
      <w:pPr>
        <w:numPr>
          <w:ilvl w:val="0"/>
          <w:numId w:val="1001"/>
        </w:numPr>
      </w:pPr>
      <w:r>
        <w:t xml:space="preserve">supplier operational data, billing workflows, claim denial patterns, and revenue cycle performance data disclosed in connection with the Purpose;</w:t>
      </w:r>
    </w:p>
    <w:p>
      <w:pPr>
        <w:numPr>
          <w:ilvl w:val="0"/>
          <w:numId w:val="1001"/>
        </w:numPr>
      </w:pPr>
      <w:r>
        <w:t xml:space="preserve">strategic partnerships, integration relationships, and acquisition-related discussions;</w:t>
      </w:r>
    </w:p>
    <w:p>
      <w:pPr>
        <w:numPr>
          <w:ilvl w:val="0"/>
          <w:numId w:val="1001"/>
        </w:numPr>
      </w:pPr>
      <w:r>
        <w:t xml:space="preserve">any information relating to the Disclosing Party’s employees, contractors, advisors, or investors; and</w:t>
      </w:r>
    </w:p>
    <w:p>
      <w:pPr>
        <w:numPr>
          <w:ilvl w:val="0"/>
          <w:numId w:val="1001"/>
        </w:numPr>
      </w:pPr>
      <w:r>
        <w:t xml:space="preserve">the fact that discussions between the Parties are occurring and the general nature of the Purpose.</w:t>
      </w:r>
    </w:p>
    <w:p>
      <w:pPr>
        <w:pStyle w:val="FirstParagraph"/>
      </w:pPr>
      <w:r>
        <w:t xml:space="preserve">1.2</w:t>
      </w:r>
      <w:r>
        <w:t xml:space="preserve"> </w:t>
      </w:r>
      <w:r>
        <w:t xml:space="preserve">“Residual Knowledge”</w:t>
      </w:r>
      <w:r>
        <w:t xml:space="preserve"> </w:t>
      </w:r>
      <w:r>
        <w:t xml:space="preserve">means general ideas, concepts, and know-how that remain in the unaided memory of a Receiving Party’s personnel after reviewing Confidential Information, where those personnel have not deliberately memorized specific details for the purpose of later use.</w:t>
      </w:r>
    </w:p>
    <w:p>
      <w:pPr>
        <w:pStyle w:val="BodyText"/>
      </w:pPr>
      <w:r>
        <w:t xml:space="preserve">Residual Knowledge does NOT include specific algorithms, scoring logic, payer or coverage rule structures, pricing formulas, documentation-readiness rule sets, or workflow designs, even if retained in memory. Those categories remain Confidential Information regardless of how they were retained.</w:t>
      </w:r>
    </w:p>
    <w:p>
      <w:r>
        <w:pict>
          <v:rect style="width:0;height:1.5pt" o:hralign="center" o:hrstd="t" o:hr="t"/>
        </w:pict>
      </w:r>
    </w:p>
    <w:bookmarkEnd w:id="10"/>
    <w:bookmarkStart w:id="11" w:name="Xf44579ac1553ce1581cb70d2efa44c2bab481d7"/>
    <w:p>
      <w:pPr>
        <w:pStyle w:val="Heading2"/>
      </w:pPr>
      <w:r>
        <w:t xml:space="preserve">ARTICLE 2. OBLIGATIONS OF CONFIDENTIALITY</w:t>
      </w:r>
    </w:p>
    <w:p>
      <w:pPr>
        <w:pStyle w:val="FirstParagraph"/>
      </w:pPr>
      <w:r>
        <w:t xml:space="preserve">2.1 Non-Disclosure. Each Receiving Party agrees to:</w:t>
      </w:r>
    </w:p>
    <w:p>
      <w:pPr>
        <w:numPr>
          <w:ilvl w:val="0"/>
          <w:numId w:val="1002"/>
        </w:numPr>
      </w:pPr>
      <w:r>
        <w:t xml:space="preserve">hold all Confidential Information of the Disclosing Party in strict confidence;</w:t>
      </w:r>
    </w:p>
    <w:p>
      <w:pPr>
        <w:numPr>
          <w:ilvl w:val="0"/>
          <w:numId w:val="1002"/>
        </w:numPr>
      </w:pPr>
      <w:r>
        <w:t xml:space="preserve">not disclose, publish, or disseminate Confidential Information to any third party without the prior written consent of the Disclosing Party;</w:t>
      </w:r>
    </w:p>
    <w:p>
      <w:pPr>
        <w:numPr>
          <w:ilvl w:val="0"/>
          <w:numId w:val="1002"/>
        </w:numPr>
      </w:pPr>
      <w:r>
        <w:t xml:space="preserve">use Confidential Information solely for the Purpose and for no other purpose; and</w:t>
      </w:r>
    </w:p>
    <w:p>
      <w:pPr>
        <w:numPr>
          <w:ilvl w:val="0"/>
          <w:numId w:val="1002"/>
        </w:numPr>
      </w:pPr>
      <w:r>
        <w:t xml:space="preserve">protect Confidential Information using at least the same degree of care it uses to protect its own confidential information of a similar nature, but in no case less than reasonable care.</w:t>
      </w:r>
    </w:p>
    <w:p>
      <w:pPr>
        <w:pStyle w:val="FirstParagraph"/>
      </w:pPr>
      <w:r>
        <w:t xml:space="preserve">2.2 Permitted Disclosures. Each Receiving Party may disclose Confidential Information to its own employees, officers, directors, contractors, advisors, attorneys, and accountants (collectively,</w:t>
      </w:r>
      <w:r>
        <w:t xml:space="preserve"> </w:t>
      </w:r>
      <w:r>
        <w:t xml:space="preserve">“Representatives”</w:t>
      </w:r>
      <w:r>
        <w:t xml:space="preserve">) who:</w:t>
      </w:r>
    </w:p>
    <w:p>
      <w:pPr>
        <w:numPr>
          <w:ilvl w:val="0"/>
          <w:numId w:val="1003"/>
        </w:numPr>
      </w:pPr>
      <w:r>
        <w:t xml:space="preserve">have a legitimate need to know the information in connection with the Purpose; and</w:t>
      </w:r>
    </w:p>
    <w:p>
      <w:pPr>
        <w:numPr>
          <w:ilvl w:val="0"/>
          <w:numId w:val="1003"/>
        </w:numPr>
      </w:pPr>
      <w:r>
        <w:t xml:space="preserve">are bound by confidentiality obligations at least as protective as those set forth in this Agreement.</w:t>
      </w:r>
    </w:p>
    <w:p>
      <w:pPr>
        <w:pStyle w:val="FirstParagraph"/>
      </w:pPr>
      <w:r>
        <w:t xml:space="preserve">Each Receiving Party is responsible for any breach of this Agreement by its Representatives.</w:t>
      </w:r>
    </w:p>
    <w:p>
      <w:pPr>
        <w:pStyle w:val="BodyText"/>
      </w:pPr>
      <w:r>
        <w:t xml:space="preserve">2.3 Residuals. A Receiving Party may use Residual Knowledge (as defined in Section 1.2) for any purpose, including developing other products or services, without obligation to the Disclosing Party. This clause does not grant a license to any patent, copyright, trademark, or trade secret, and does not permit the deliberate extraction or memorization of specific formulas, algorithms, pricing structures, payer or coverage logic, or proprietary rule sets.</w:t>
      </w:r>
    </w:p>
    <w:p>
      <w:pPr>
        <w:pStyle w:val="BodyText"/>
      </w:pPr>
      <w:r>
        <w:rPr>
          <w:i/>
          <w:iCs/>
        </w:rPr>
        <w:t xml:space="preserve">Note to parties: The scope of this residuals clause is a judgment call and should be reviewed with counsel before signing, particularly for relationships involving proprietary clinical logic or payer rules.</w:t>
      </w:r>
    </w:p>
    <w:p>
      <w:r>
        <w:pict>
          <v:rect style="width:0;height:1.5pt" o:hralign="center" o:hrstd="t" o:hr="t"/>
        </w:pict>
      </w:r>
    </w:p>
    <w:bookmarkEnd w:id="11"/>
    <w:bookmarkStart w:id="12" w:name="article-3.-exclusions"/>
    <w:p>
      <w:pPr>
        <w:pStyle w:val="Heading2"/>
      </w:pPr>
      <w:r>
        <w:t xml:space="preserve">ARTICLE 3. EXCLUSIONS</w:t>
      </w:r>
    </w:p>
    <w:p>
      <w:pPr>
        <w:pStyle w:val="FirstParagraph"/>
      </w:pPr>
      <w:r>
        <w:t xml:space="preserve">3.1 The obligations in Article 2 do not apply to information that the Receiving Party can demonstrate:</w:t>
      </w:r>
    </w:p>
    <w:p>
      <w:pPr>
        <w:numPr>
          <w:ilvl w:val="0"/>
          <w:numId w:val="1004"/>
        </w:numPr>
      </w:pPr>
      <w:r>
        <w:t xml:space="preserve">is or becomes publicly available through no act or omission of the Receiving Party;</w:t>
      </w:r>
    </w:p>
    <w:p>
      <w:pPr>
        <w:numPr>
          <w:ilvl w:val="0"/>
          <w:numId w:val="1004"/>
        </w:numPr>
      </w:pPr>
      <w:r>
        <w:t xml:space="preserve">was rightfully known to the Receiving Party prior to disclosure, without restriction;</w:t>
      </w:r>
    </w:p>
    <w:p>
      <w:pPr>
        <w:numPr>
          <w:ilvl w:val="0"/>
          <w:numId w:val="1004"/>
        </w:numPr>
      </w:pPr>
      <w:r>
        <w:t xml:space="preserve">was independently developed by the Receiving Party without use of or reference to the Disclosing Party’s Confidential Information;</w:t>
      </w:r>
    </w:p>
    <w:p>
      <w:pPr>
        <w:numPr>
          <w:ilvl w:val="0"/>
          <w:numId w:val="1004"/>
        </w:numPr>
      </w:pPr>
      <w:r>
        <w:t xml:space="preserve">was received by the Receiving Party from a third party who obtained the information independently of the Disclosing Party, who was not subject to any confidentiality obligation to the Disclosing Party regarding the information, and who had the legal right to disclose it; or</w:t>
      </w:r>
    </w:p>
    <w:p>
      <w:pPr>
        <w:numPr>
          <w:ilvl w:val="0"/>
          <w:numId w:val="1004"/>
        </w:numPr>
      </w:pPr>
      <w:r>
        <w:t xml:space="preserve">is required to be disclosed by applicable law, regulation, court order, or governmental authority, provided that the Receiving Party gives the Disclosing Party prompt written notice of the requirement (to the extent permitted by law) and reasonably cooperates with the Disclosing Party’s efforts to seek a protective order or other appropriate relief.</w:t>
      </w:r>
    </w:p>
    <w:p>
      <w:r>
        <w:pict>
          <v:rect style="width:0;height:1.5pt" o:hralign="center" o:hrstd="t" o:hr="t"/>
        </w:pict>
      </w:r>
    </w:p>
    <w:bookmarkEnd w:id="12"/>
    <w:bookmarkStart w:id="13" w:name="Xc0e3152b0911f525191b7217891a99cecd23cf5"/>
    <w:p>
      <w:pPr>
        <w:pStyle w:val="Heading2"/>
      </w:pPr>
      <w:r>
        <w:t xml:space="preserve">ARTICLE 4. TERM AND DURATION OF OBLIGATIONS</w:t>
      </w:r>
    </w:p>
    <w:p>
      <w:pPr>
        <w:pStyle w:val="FirstParagraph"/>
      </w:pPr>
      <w:r>
        <w:t xml:space="preserve">4.1 This Agreement commences on the Effective Date and continues for two (2) years, unless either Party ends it earlier with thirty (30) days’ written notice.</w:t>
      </w:r>
    </w:p>
    <w:p>
      <w:pPr>
        <w:pStyle w:val="BodyText"/>
      </w:pPr>
      <w:r>
        <w:t xml:space="preserve">4.2 Confidentiality obligations for any item of Confidential Information apply for two (2) years from the date that item was disclosed. This means the clock runs from each disclosure, not from the Agreement start date.</w:t>
      </w:r>
    </w:p>
    <w:p>
      <w:pPr>
        <w:pStyle w:val="BodyText"/>
      </w:pPr>
      <w:r>
        <w:rPr>
          <w:i/>
          <w:iCs/>
        </w:rPr>
        <w:t xml:space="preserve">Note: Rolling per-disclosure terms can be administratively complex to track. Parties may prefer a single two-year term from the Agreement Effective Date for simplicity. Counsel should assess which approach fits the relationship.</w:t>
      </w:r>
    </w:p>
    <w:p>
      <w:pPr>
        <w:pStyle w:val="BodyText"/>
      </w:pPr>
      <w:r>
        <w:t xml:space="preserve">4.3 Obligations with respect to trade secrets survive for as long as the information qualifies as a trade secret under applicable law, including the Defend Trade Secrets Act (18 U.S.C. Section 1836 et seq.).</w:t>
      </w:r>
    </w:p>
    <w:p>
      <w:r>
        <w:pict>
          <v:rect style="width:0;height:1.5pt" o:hralign="center" o:hrstd="t" o:hr="t"/>
        </w:pict>
      </w:r>
    </w:p>
    <w:bookmarkEnd w:id="13"/>
    <w:bookmarkStart w:id="14" w:name="X239e17a4d5eb67a376df80258f4e8545fffbc94"/>
    <w:p>
      <w:pPr>
        <w:pStyle w:val="Heading2"/>
      </w:pPr>
      <w:r>
        <w:t xml:space="preserve">ARTICLE 5. RETURN AND DESTRUCTION OF CONFIDENTIAL INFORMATION</w:t>
      </w:r>
    </w:p>
    <w:p>
      <w:pPr>
        <w:pStyle w:val="FirstParagraph"/>
      </w:pPr>
      <w:r>
        <w:t xml:space="preserve">5.1 Upon the written request of the Disclosing Party, or upon termination of this Agreement, the Receiving Party will, within ten (10) business days:</w:t>
      </w:r>
    </w:p>
    <w:p>
      <w:pPr>
        <w:numPr>
          <w:ilvl w:val="0"/>
          <w:numId w:val="1005"/>
        </w:numPr>
      </w:pPr>
      <w:r>
        <w:t xml:space="preserve">return to the Disclosing Party all materials containing Confidential Information; or</w:t>
      </w:r>
    </w:p>
    <w:p>
      <w:pPr>
        <w:numPr>
          <w:ilvl w:val="0"/>
          <w:numId w:val="1005"/>
        </w:numPr>
      </w:pPr>
      <w:r>
        <w:t xml:space="preserve">certify in writing that all such materials, including electronic copies and derivatives, have been destroyed, except as set forth in Section 5.2.</w:t>
      </w:r>
    </w:p>
    <w:p>
      <w:pPr>
        <w:pStyle w:val="FirstParagraph"/>
      </w:pPr>
      <w:r>
        <w:t xml:space="preserve">Written certification under this Section may be provided by email from an authorized representative of the Receiving Party. A formal letter is not required.</w:t>
      </w:r>
    </w:p>
    <w:p>
      <w:pPr>
        <w:pStyle w:val="BodyText"/>
      </w:pPr>
      <w:r>
        <w:t xml:space="preserve">5.2 The Receiving Party may retain one (1) archival copy of Confidential Information solely to the extent required by applicable law or bona fide document retention policies, provided that such retained information remains subject to the confidentiality obligations of this Agreement.</w:t>
      </w:r>
    </w:p>
    <w:p>
      <w:r>
        <w:pict>
          <v:rect style="width:0;height:1.5pt" o:hralign="center" o:hrstd="t" o:hr="t"/>
        </w:pict>
      </w:r>
    </w:p>
    <w:bookmarkEnd w:id="14"/>
    <w:bookmarkStart w:id="15" w:name="X5a77c51deb2213b8b65be8e764312ffad54427e"/>
    <w:p>
      <w:pPr>
        <w:pStyle w:val="Heading2"/>
      </w:pPr>
      <w:r>
        <w:t xml:space="preserve">ARTICLE 6. HEALTHCARE DATA AND HIPAA CARVE-OUT</w:t>
      </w:r>
    </w:p>
    <w:p>
      <w:pPr>
        <w:pStyle w:val="FirstParagraph"/>
      </w:pPr>
      <w:r>
        <w:t xml:space="preserve">6.1 This Agreement is not a Business Associate Agreement (</w:t>
      </w:r>
      <w:r>
        <w:t xml:space="preserve">“BAA”</w:t>
      </w:r>
      <w:r>
        <w:t xml:space="preserve">) as defined under HIPAA.</w:t>
      </w:r>
    </w:p>
    <w:p>
      <w:pPr>
        <w:pStyle w:val="BodyText"/>
      </w:pPr>
      <w:r>
        <w:t xml:space="preserve">6.2 This Agreement does not govern the use or disclosure of Protected Health Information (</w:t>
      </w:r>
      <w:r>
        <w:t xml:space="preserve">“PHI”</w:t>
      </w:r>
      <w:r>
        <w:t xml:space="preserve">) as defined under HIPAA. If the Parties determine that the Purpose requires the sharing of PHI, they will execute a separate Business Associate Agreement before any such PHI is shared. STTIL Solutions maintains a Mutual Business Associate Agreement template for this purpose.</w:t>
      </w:r>
    </w:p>
    <w:p>
      <w:pPr>
        <w:pStyle w:val="BodyText"/>
      </w:pPr>
      <w:r>
        <w:t xml:space="preserve">6.3 Nothing in this Agreement authorizes either Party to share, access, or process PHI under this Agreement.</w:t>
      </w:r>
    </w:p>
    <w:p>
      <w:pPr>
        <w:pStyle w:val="BodyText"/>
      </w:pPr>
      <w:r>
        <w:t xml:space="preserve">6.4 Each Party acknowledges that STTIL Solutions’ products and services are designed to operate using supplier-side operational and administrative data. Each Party remains independently responsible for ensuring that any information it discloses does not include PHI unless a separate BAA is in place.</w:t>
      </w:r>
    </w:p>
    <w:p>
      <w:r>
        <w:pict>
          <v:rect style="width:0;height:1.5pt" o:hralign="center" o:hrstd="t" o:hr="t"/>
        </w:pict>
      </w:r>
    </w:p>
    <w:bookmarkEnd w:id="15"/>
    <w:bookmarkStart w:id="16" w:name="article-7.-intellectual-property"/>
    <w:p>
      <w:pPr>
        <w:pStyle w:val="Heading2"/>
      </w:pPr>
      <w:r>
        <w:t xml:space="preserve">ARTICLE 7. INTELLECTUAL PROPERTY</w:t>
      </w:r>
    </w:p>
    <w:p>
      <w:pPr>
        <w:pStyle w:val="FirstParagraph"/>
      </w:pPr>
      <w:r>
        <w:t xml:space="preserve">7.1 No license. Nothing in this Agreement grants either Party any license, right, or interest in the other Party’s intellectual property, including patents, copyrights, trademarks, or trade secrets. Sharing Confidential Information is not a transfer of ownership of any kind.</w:t>
      </w:r>
    </w:p>
    <w:p>
      <w:pPr>
        <w:pStyle w:val="BodyText"/>
      </w:pPr>
      <w:r>
        <w:t xml:space="preserve">7.2 Ownership. All Confidential Information disclosed by the Disclosing Party remains the sole and exclusive property of the Disclosing Party. The Receiving Party acquires no rights in the Confidential Information except the limited right to use it for the Purpose as set forth herein.</w:t>
      </w:r>
    </w:p>
    <w:p>
      <w:r>
        <w:pict>
          <v:rect style="width:0;height:1.5pt" o:hralign="center" o:hrstd="t" o:hr="t"/>
        </w:pict>
      </w:r>
    </w:p>
    <w:bookmarkEnd w:id="16"/>
    <w:bookmarkStart w:id="17" w:name="X4d149aba68816ea0a4a6e45f98ed4eb1855b836"/>
    <w:p>
      <w:pPr>
        <w:pStyle w:val="Heading2"/>
      </w:pPr>
      <w:r>
        <w:t xml:space="preserve">ARTICLE 8. REPRESENTATIONS AND WARRANTIES</w:t>
      </w:r>
    </w:p>
    <w:p>
      <w:pPr>
        <w:pStyle w:val="FirstParagraph"/>
      </w:pPr>
      <w:r>
        <w:t xml:space="preserve">8.1 Each Party represents and warrants that:</w:t>
      </w:r>
    </w:p>
    <w:p>
      <w:pPr>
        <w:numPr>
          <w:ilvl w:val="0"/>
          <w:numId w:val="1006"/>
        </w:numPr>
      </w:pPr>
      <w:r>
        <w:t xml:space="preserve">it has the authority to enter into this Agreement;</w:t>
      </w:r>
    </w:p>
    <w:p>
      <w:pPr>
        <w:numPr>
          <w:ilvl w:val="0"/>
          <w:numId w:val="1006"/>
        </w:numPr>
      </w:pPr>
      <w:r>
        <w:t xml:space="preserve">its execution and performance of this Agreement does not violate any other agreement or obligation by which it is bound; and</w:t>
      </w:r>
    </w:p>
    <w:p>
      <w:pPr>
        <w:numPr>
          <w:ilvl w:val="0"/>
          <w:numId w:val="1006"/>
        </w:numPr>
      </w:pPr>
      <w:r>
        <w:t xml:space="preserve">it will comply with all applicable laws and regulations in connection with its receipt and use of the other Party’s Confidential Information.</w:t>
      </w:r>
    </w:p>
    <w:p>
      <w:pPr>
        <w:pStyle w:val="FirstParagraph"/>
      </w:pPr>
      <w:r>
        <w:t xml:space="preserve">8.2 CONFIDENTIAL INFORMATION IS PROVIDED</w:t>
      </w:r>
      <w:r>
        <w:t xml:space="preserve"> </w:t>
      </w:r>
      <w:r>
        <w:t xml:space="preserve">“AS IS.”</w:t>
      </w:r>
      <w:r>
        <w:t xml:space="preserve"> </w:t>
      </w:r>
      <w:r>
        <w:t xml:space="preserve">NEITHER PARTY MAKES ANY WARRANTY, EXPRESS OR IMPLIED, AS TO THE ACCURACY, COMPLETENESS, OR FITNESS FOR A PARTICULAR PURPOSE OF ANY CONFIDENTIAL INFORMATION DISCLOSED HEREUNDER.</w:t>
      </w:r>
    </w:p>
    <w:p>
      <w:r>
        <w:pict>
          <v:rect style="width:0;height:1.5pt" o:hralign="center" o:hrstd="t" o:hr="t"/>
        </w:pict>
      </w:r>
    </w:p>
    <w:bookmarkEnd w:id="17"/>
    <w:bookmarkStart w:id="18" w:name="article-9.-remedies"/>
    <w:p>
      <w:pPr>
        <w:pStyle w:val="Heading2"/>
      </w:pPr>
      <w:r>
        <w:t xml:space="preserve">ARTICLE 9. REMEDIES</w:t>
      </w:r>
    </w:p>
    <w:p>
      <w:pPr>
        <w:pStyle w:val="FirstParagraph"/>
      </w:pPr>
      <w:r>
        <w:t xml:space="preserve">9.1 Each Party acknowledges that a breach of this Agreement may cause irreparable harm to the Disclosing Party for which monetary damages would be an inadequate remedy. Accordingly, the Disclosing Party may seek equitable relief, including injunction and specific performance, in addition to all other available remedies, without the requirement of posting a bond or other security.</w:t>
      </w:r>
    </w:p>
    <w:p>
      <w:r>
        <w:pict>
          <v:rect style="width:0;height:1.5pt" o:hralign="center" o:hrstd="t" o:hr="t"/>
        </w:pict>
      </w:r>
    </w:p>
    <w:bookmarkEnd w:id="18"/>
    <w:bookmarkStart w:id="19" w:name="article-10.-general-provisions"/>
    <w:p>
      <w:pPr>
        <w:pStyle w:val="Heading2"/>
      </w:pPr>
      <w:r>
        <w:t xml:space="preserve">ARTICLE 10. GENERAL PROVISIONS</w:t>
      </w:r>
    </w:p>
    <w:p>
      <w:pPr>
        <w:pStyle w:val="FirstParagraph"/>
      </w:pPr>
      <w:r>
        <w:t xml:space="preserve">10.1 Governing Law. This Agreement is governed by the laws of the State of Florida, without regard to its conflict of law principles.</w:t>
      </w:r>
    </w:p>
    <w:p>
      <w:pPr>
        <w:pStyle w:val="BodyText"/>
      </w:pPr>
      <w:r>
        <w:t xml:space="preserve">10.2 Dispute Resolution. Before pursuing any formal proceeding, the Parties will first attempt to resolve any dispute arising out of or relating to this Agreement through good-faith discussion between senior representatives for 30 days following written notice of the dispute. If the dispute remains unresolved after that period, the Parties will resolve it through binding arbitration administered by a mutually agreed arbitration provider. If the Parties cannot agree on a provider within 15 days of the dispute notice, either Party may commence arbitration through the American Arbitration Association under its then-current Commercial Arbitration Rules. Arbitration may be conducted remotely. Nothing in this Section limits either Party’s right under Article 9 to seek emergency injunctive or other equitable relief from a court of competent jurisdiction to prevent irreparable harm.</w:t>
      </w:r>
    </w:p>
    <w:p>
      <w:pPr>
        <w:pStyle w:val="BodyText"/>
      </w:pPr>
      <w:r>
        <w:t xml:space="preserve">10.3 Entire Agreement. This Agreement constitutes the entire agreement between the Parties with respect to the subject matter hereof and supersedes all prior or contemporaneous agreements, understandings, and communications relating to confidentiality of information shared in connection with the Purpose.</w:t>
      </w:r>
    </w:p>
    <w:p>
      <w:pPr>
        <w:pStyle w:val="BodyText"/>
      </w:pPr>
      <w:r>
        <w:t xml:space="preserve">10.4 Amendment. This Agreement may not be amended or modified except by a written instrument signed by authorized representatives of both Parties.</w:t>
      </w:r>
    </w:p>
    <w:p>
      <w:pPr>
        <w:pStyle w:val="BodyText"/>
      </w:pPr>
      <w:r>
        <w:t xml:space="preserve">10.5 Waiver. No failure or delay by either Party in exercising any right under this Agreement constitutes a waiver of that right.</w:t>
      </w:r>
    </w:p>
    <w:p>
      <w:pPr>
        <w:pStyle w:val="BodyText"/>
      </w:pPr>
      <w:r>
        <w:t xml:space="preserve">10.6 Severability. If any provision of this Agreement is held invalid, illegal, or unenforceable, the remaining provisions remain in full force and effect.</w:t>
      </w:r>
    </w:p>
    <w:p>
      <w:pPr>
        <w:pStyle w:val="BodyText"/>
      </w:pPr>
      <w:r>
        <w:t xml:space="preserve">10.7 Counterparts and Electronic Signatures. This Agreement may be executed in counterparts, each of which constitutes an original. Electronic signatures have the same legal effect as original signatures.</w:t>
      </w:r>
    </w:p>
    <w:p>
      <w:pPr>
        <w:pStyle w:val="BodyText"/>
      </w:pPr>
      <w:r>
        <w:t xml:space="preserve">10.8 No Agency or Partnership. Nothing in this Agreement creates any agency, partnership, joint venture, or employment relationship between the Parties.</w:t>
      </w:r>
    </w:p>
    <w:p>
      <w:pPr>
        <w:pStyle w:val="BodyText"/>
      </w:pPr>
      <w:r>
        <w:t xml:space="preserve">10.9 Notices. All notices under this Agreement must be in writing and delivered by email with written confirmation of receipt, or by overnight courier to the addresses stated in this Agreement.</w:t>
      </w:r>
    </w:p>
    <w:p>
      <w:pPr>
        <w:pStyle w:val="BodyText"/>
      </w:pPr>
      <w:r>
        <w:t xml:space="preserve">10.10 Assignment. Neither Party may assign this Agreement without the prior written consent of the other Party, except that STTIL Solutions may assign this Agreement in connection with a merger, acquisition, or sale of all or substantially all of its assets without consent, provided that the assignee assumes all obligations hereunder.</w:t>
      </w:r>
    </w:p>
    <w:p>
      <w:pPr>
        <w:pStyle w:val="BodyText"/>
      </w:pPr>
      <w:r>
        <w:t xml:space="preserve">10.11 Publicity. Neither Party will issue any press release or public statement regarding the Purpose or the Parties’ discussions, nor use the other Party’s name, logo, or marks in any marketing, customer list, website, fundraising, investor, or board material, without the other Party’s prior written consent in each instance. This restriction applies equally to both Parties.</w:t>
      </w:r>
    </w:p>
    <w:p>
      <w:r>
        <w:pict>
          <v:rect style="width:0;height:1.5pt" o:hralign="center" o:hrstd="t" o:hr="t"/>
        </w:pict>
      </w:r>
    </w:p>
    <w:bookmarkEnd w:id="19"/>
    <w:bookmarkStart w:id="20" w:name="signatures"/>
    <w:p>
      <w:pPr>
        <w:pStyle w:val="Heading2"/>
      </w:pPr>
      <w:r>
        <w:t xml:space="preserve">SIGNATURES</w:t>
      </w:r>
    </w:p>
    <w:p>
      <w:pPr>
        <w:pStyle w:val="FirstParagraph"/>
      </w:pPr>
      <w:r>
        <w:t xml:space="preserve">IN WITNESS WHEREOF, the Parties have executed this Mutual Non-Disclosure Agreement as of the date first written above.</w:t>
      </w:r>
    </w:p>
    <w:p>
      <w:pPr>
        <w:pStyle w:val="BodyText"/>
      </w:pPr>
      <w:r>
        <w:rPr>
          <w:b/>
          <w:bCs/>
        </w:rPr>
        <w:t xml:space="preserve">KJF PROFESSIONAL SERVICES LLC d/b/a STTIL SOLUTIONS</w:t>
      </w:r>
    </w:p>
    <w:p>
      <w:pPr>
        <w:pStyle w:val="BodyText"/>
      </w:pPr>
      <w:r>
        <w:t xml:space="preserve">Signature: ___________________________</w:t>
      </w:r>
      <w:r>
        <w:t xml:space="preserve"> </w:t>
      </w:r>
      <w:r>
        <w:t xml:space="preserve">Name: Arkisia (Kisa) Fenn</w:t>
      </w:r>
      <w:r>
        <w:t xml:space="preserve"> </w:t>
      </w:r>
      <w:r>
        <w:t xml:space="preserve">Title: Founder and Chief Executive Officer</w:t>
      </w:r>
      <w:r>
        <w:t xml:space="preserve"> </w:t>
      </w:r>
      <w:r>
        <w:t xml:space="preserve">Date: ___________________________</w:t>
      </w:r>
    </w:p>
    <w:p>
      <w:pPr>
        <w:pStyle w:val="BodyText"/>
      </w:pPr>
      <w:r>
        <w:rPr>
          <w:b/>
          <w:bCs/>
        </w:rPr>
        <w:t xml:space="preserve">[PARTY B FULL LEGAL NAME]</w:t>
      </w:r>
    </w:p>
    <w:p>
      <w:pPr>
        <w:pStyle w:val="BodyText"/>
      </w:pPr>
      <w:r>
        <w:t xml:space="preserve">Signature: ___________________________</w:t>
      </w:r>
      <w:r>
        <w:t xml:space="preserve"> </w:t>
      </w:r>
      <w:r>
        <w:t xml:space="preserve">Name: ___________________________</w:t>
      </w:r>
      <w:r>
        <w:t xml:space="preserve"> </w:t>
      </w:r>
      <w:r>
        <w:t xml:space="preserve">Title: ___________________________</w:t>
      </w:r>
      <w:r>
        <w:t xml:space="preserve"> </w:t>
      </w:r>
      <w:r>
        <w:t xml:space="preserve">Date: ___________________________</w:t>
      </w:r>
    </w:p>
    <w:p>
      <w:r>
        <w:pict>
          <v:rect style="width:0;height:1.5pt" o:hralign="center" o:hrstd="t" o:hr="t"/>
        </w:pict>
      </w:r>
    </w:p>
    <w:bookmarkEnd w:id="20"/>
    <w:bookmarkStart w:id="21" w:name="attorney-review-notes"/>
    <w:p>
      <w:pPr>
        <w:pStyle w:val="Heading2"/>
      </w:pPr>
      <w:r>
        <w:t xml:space="preserve">ATTORNEY REVIEW NOTES</w:t>
      </w:r>
    </w:p>
    <w:p>
      <w:pPr>
        <w:pStyle w:val="FirstParagraph"/>
      </w:pPr>
      <w:r>
        <w:t xml:space="preserve">Each load-bearing factual claim is labeled GROUNDED (cited source) or GRAFTED (assumption for counsel to confirm). Focused review questions:</w:t>
      </w:r>
    </w:p>
    <w:p>
      <w:pPr>
        <w:numPr>
          <w:ilvl w:val="0"/>
          <w:numId w:val="1007"/>
        </w:numPr>
      </w:pPr>
      <w:r>
        <w:rPr>
          <w:b/>
          <w:bCs/>
        </w:rPr>
        <w:t xml:space="preserve">Entity name and formation state (GROUNDED, founder-confirmed).</w:t>
      </w:r>
      <w:r>
        <w:t xml:space="preserve"> </w:t>
      </w:r>
      <w:r>
        <w:t xml:space="preserve">Entity stated as</w:t>
      </w:r>
      <w:r>
        <w:t xml:space="preserve"> </w:t>
      </w:r>
      <w:r>
        <w:t xml:space="preserve">“KJF Professional Services LLC d/b/a STTIL Solutions”</w:t>
      </w:r>
      <w:r>
        <w:t xml:space="preserve">, a Florida limited liability company, confirmed by the founder 2026-07-07 and consistent with an executed LOI. The v1 draft said</w:t>
      </w:r>
      <w:r>
        <w:t xml:space="preserve"> </w:t>
      </w:r>
      <w:r>
        <w:t xml:space="preserve">“STTIL Solutions LLC, a Delaware LLC.”</w:t>
      </w:r>
      <w:r>
        <w:t xml:space="preserve"> </w:t>
      </w:r>
      <w:r>
        <w:t xml:space="preserve">Counsel to verify the Florida registration and confirm Articles 10.1 (governing law) and 10.2 (arbitration-based dispute resolution, mirroring the pilot LOI Section 14 per the founder’s confirmed posture) as drafted.</w:t>
      </w:r>
    </w:p>
    <w:p>
      <w:pPr>
        <w:numPr>
          <w:ilvl w:val="0"/>
          <w:numId w:val="1007"/>
        </w:numPr>
      </w:pPr>
      <w:r>
        <w:rPr>
          <w:b/>
          <w:bCs/>
        </w:rPr>
        <w:t xml:space="preserve">Residuals Clause (Article 2.3) (GRAFTED as applied).</w:t>
      </w:r>
      <w:r>
        <w:t xml:space="preserve"> </w:t>
      </w:r>
      <w:r>
        <w:t xml:space="preserve">Standard in tech NDAs, contested in healthcare. The carve-out for specific IP categories (algorithms, payer and coverage logic, scoring formulas, rule sets) is intended to stop a counterparty from receiving a demo and building a competing worklist tool from retained concepts. Counsel to confirm the carve-out is enforceable as written.</w:t>
      </w:r>
    </w:p>
    <w:p>
      <w:pPr>
        <w:numPr>
          <w:ilvl w:val="0"/>
          <w:numId w:val="1007"/>
        </w:numPr>
      </w:pPr>
      <w:r>
        <w:rPr>
          <w:b/>
          <w:bCs/>
        </w:rPr>
        <w:t xml:space="preserve">HIPAA Carve-Out (Article 6) (GRAFTED as applied).</w:t>
      </w:r>
      <w:r>
        <w:t xml:space="preserve"> </w:t>
      </w:r>
      <w:r>
        <w:t xml:space="preserve">Article 6.4 no longer asserts flatly that STTIL data</w:t>
      </w:r>
      <w:r>
        <w:t xml:space="preserve"> </w:t>
      </w:r>
      <w:r>
        <w:t xml:space="preserve">“is not PHI”</w:t>
      </w:r>
      <w:r>
        <w:t xml:space="preserve">; it states the products are designed to operate on supplier-side operational data and places responsibility on each Party. Counsel to confirm this framing is accurate and defensible across current and planned product tiers, and note that whether the supplier’s patient_id is PHI is the open BAA question carried in the BAA template.</w:t>
      </w:r>
    </w:p>
    <w:p>
      <w:pPr>
        <w:numPr>
          <w:ilvl w:val="0"/>
          <w:numId w:val="1007"/>
        </w:numPr>
      </w:pPr>
      <w:r>
        <w:rPr>
          <w:b/>
          <w:bCs/>
        </w:rPr>
        <w:t xml:space="preserve">Third-party exclusion (Article 3.1(d)) (GROUNDED source: a prior counterparty negotiation markup 2026-06-06).</w:t>
      </w:r>
      <w:r>
        <w:t xml:space="preserve"> </w:t>
      </w:r>
      <w:r>
        <w:t xml:space="preserve">Tightened so it cannot be used as a loophole: the third party must have obtained the information independently, without a confidentiality obligation, and with the legal right to disclose. Applies equally to both Parties. Counsel to confirm.</w:t>
      </w:r>
    </w:p>
    <w:p>
      <w:pPr>
        <w:numPr>
          <w:ilvl w:val="0"/>
          <w:numId w:val="1007"/>
        </w:numPr>
      </w:pPr>
      <w:r>
        <w:rPr>
          <w:b/>
          <w:bCs/>
        </w:rPr>
        <w:t xml:space="preserve">Trade Secret Survival (Article 4.3) (GROUNDED statute).</w:t>
      </w:r>
      <w:r>
        <w:t xml:space="preserve"> </w:t>
      </w:r>
      <w:r>
        <w:t xml:space="preserve">Open-ended survival with a DTSA citation. Counsel to confirm the DTSA reference is appropriate and assess whether to add a prevailing-party attorneys’ fee provision.</w:t>
      </w:r>
    </w:p>
    <w:p>
      <w:pPr>
        <w:numPr>
          <w:ilvl w:val="0"/>
          <w:numId w:val="1007"/>
        </w:numPr>
      </w:pPr>
      <w:r>
        <w:rPr>
          <w:b/>
          <w:bCs/>
        </w:rPr>
        <w:t xml:space="preserve">Rolling Per-Disclosure Term (Article 4.2) (GRAFTED, operational).</w:t>
      </w:r>
      <w:r>
        <w:t xml:space="preserve"> </w:t>
      </w:r>
      <w:r>
        <w:t xml:space="preserve">Counsel to advise whether a single-term structure better fits STTIL’s operational reality.</w:t>
      </w:r>
    </w:p>
    <w:p>
      <w:pPr>
        <w:numPr>
          <w:ilvl w:val="0"/>
          <w:numId w:val="1007"/>
        </w:numPr>
      </w:pPr>
      <w:r>
        <w:rPr>
          <w:b/>
          <w:bCs/>
        </w:rPr>
        <w:t xml:space="preserve">Named products (Article 1.1(c)) (GROUNDED source: KG STTIL Solutions portfolio).</w:t>
      </w:r>
      <w:r>
        <w:t xml:space="preserve"> </w:t>
      </w:r>
      <w:r>
        <w:t xml:space="preserve">Now reads</w:t>
      </w:r>
      <w:r>
        <w:t xml:space="preserve"> </w:t>
      </w:r>
      <w:r>
        <w:t xml:space="preserve">“Signal, Vitality Med Tracker, UMSIS, and any other current or future STTIL Solutions offering.”</w:t>
      </w:r>
      <w:r>
        <w:t xml:space="preserve"> </w:t>
      </w:r>
      <w:r>
        <w:t xml:space="preserve">“Med Tracker”</w:t>
      </w:r>
      <w:r>
        <w:t xml:space="preserve"> </w:t>
      </w:r>
      <w:r>
        <w:t xml:space="preserve">was corrected to</w:t>
      </w:r>
      <w:r>
        <w:t xml:space="preserve"> </w:t>
      </w:r>
      <w:r>
        <w:t xml:space="preserve">“Vitality Med Tracker.”</w:t>
      </w:r>
      <w:r>
        <w:t xml:space="preserve"> </w:t>
      </w:r>
      <w:r>
        <w:t xml:space="preserve">Two internal pipeline initiatives are deliberately not named; both are covered by the</w:t>
      </w:r>
      <w:r>
        <w:t xml:space="preserve"> </w:t>
      </w:r>
      <w:r>
        <w:t xml:space="preserve">“current or future offering”</w:t>
      </w:r>
      <w:r>
        <w:t xml:space="preserve"> </w:t>
      </w:r>
      <w:r>
        <w:t xml:space="preserve">catch-all. Counsel to confirm the catch-all is sufficient.</w:t>
      </w:r>
    </w:p>
    <w:p>
      <w:pPr>
        <w:numPr>
          <w:ilvl w:val="0"/>
          <w:numId w:val="1007"/>
        </w:numPr>
      </w:pPr>
      <w:r>
        <w:rPr>
          <w:b/>
          <w:bCs/>
        </w:rPr>
        <w:t xml:space="preserve">Publicity (Article 10.11) (GROUNDED source: a prior counterparty negotiation markup).</w:t>
      </w:r>
      <w:r>
        <w:t xml:space="preserve"> </w:t>
      </w:r>
      <w:r>
        <w:t xml:space="preserve">New in v3, mutual investor/board/marketing restriction. Counsel to confirm.</w:t>
      </w:r>
    </w:p>
    <w:p>
      <w:pPr>
        <w:numPr>
          <w:ilvl w:val="0"/>
          <w:numId w:val="1007"/>
        </w:numPr>
      </w:pPr>
      <w:r>
        <w:rPr>
          <w:b/>
          <w:bCs/>
        </w:rPr>
        <w:t xml:space="preserve">Short-Form Version (operational).</w:t>
      </w:r>
      <w:r>
        <w:t xml:space="preserve"> </w:t>
      </w:r>
      <w:r>
        <w:t xml:space="preserve">This template is written for investors, acquirers, and sophisticated counterparties. For small DMEPOS suppliers, a 1 to 2 page plain-language version would reduce friction. STTIL should develop a streamlined supplier NDA before broad pilot outreach.</w:t>
      </w:r>
    </w:p>
    <w:p>
      <w:r>
        <w:pict>
          <v:rect style="width:0;height:1.5pt" o:hralign="center" o:hrstd="t" o:hr="t"/>
        </w:pict>
      </w:r>
    </w:p>
    <w:p>
      <w:pPr>
        <w:pStyle w:val="FirstParagraph"/>
      </w:pPr>
      <w:r>
        <w:rPr>
          <w:i/>
          <w:iCs/>
        </w:rPr>
        <w:t xml:space="preserve">Document prepared for attorney review. Not legal advice.</w:t>
      </w:r>
      <w:r>
        <w:t xml:space="preserve"> </w:t>
      </w:r>
      <w:r>
        <w:rPr>
          <w:i/>
          <w:iCs/>
        </w:rPr>
        <w:t xml:space="preserve">Related: STTIL-pilot-LOI-template-v3, STTIL-BAA-template-v1</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2026-07-07T10:39:31Z</dcterms:created>
  <dcterms:modified xsi:type="dcterms:W3CDTF">2026-07-07T10:39:31Z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2026-07-07</vt:lpwstr>
  </property>
  <property fmtid="{D5CDD505-2E9C-101B-9397-08002B2CF9AE}" pid="3" name="status">
    <vt:lpwstr>draft, pending attorney review</vt:lpwstr>
  </property>
  <property fmtid="{D5CDD505-2E9C-101B-9397-08002B2CF9AE}" pid="4" name="supersedes">
    <vt:lpwstr>STTIL-NDA-template-v1 (labeled v2 internally)</vt:lpwstr>
  </property>
  <property fmtid="{D5CDD505-2E9C-101B-9397-08002B2CF9AE}" pid="5" name="tags">
    <vt:lpwstr/>
  </property>
  <property fmtid="{D5CDD505-2E9C-101B-9397-08002B2CF9AE}" pid="6" name="type">
    <vt:lpwstr>legal-template</vt:lpwstr>
  </property>
  <property fmtid="{D5CDD505-2E9C-101B-9397-08002B2CF9AE}" pid="7" name="version">
    <vt:lpwstr>3, portfolio product list updated + a prior counterparty learnings + entity/state placeholders 2026-07-07</vt:lpwstr>
  </property>
</Properties>
</file>