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Date"/>
      </w:pPr>
      <w:r>
        <w:t xml:space="preserve">2026-07-07</w:t>
      </w:r>
    </w:p>
    <w:bookmarkStart w:id="9" w:name="X5d79a66376fa2ced1892070a758c6b9cad4da33"/>
    <w:p>
      <w:pPr>
        <w:pStyle w:val="Heading1"/>
      </w:pPr>
      <w:r>
        <w:t xml:space="preserve">STTIL Solutions Pilot Letter of Intent / MOU (Template v3)</w:t>
      </w:r>
    </w:p>
    <w:p>
      <w:pPr>
        <w:pStyle w:val="BlockText"/>
      </w:pPr>
      <w:r>
        <w:rPr>
          <w:b/>
          <w:bCs/>
        </w:rPr>
        <w:t xml:space="preserve">DRAFT, for attorney review before use. Not legal advice.</w:t>
      </w:r>
      <w:r>
        <w:t xml:space="preserve"> </w:t>
      </w:r>
      <w:r>
        <w:t xml:space="preserve">Prepared 2026-07-07. Product-agnostic body; product specifics live in Exhibit A. Non-binding except the Sections identified as binding in Section 2.3.</w:t>
      </w:r>
    </w:p>
    <w:p>
      <w:r>
        <w:pict>
          <v:rect style="width:0;height:1.5pt" o:hralign="center" o:hrstd="t" o:hr="t"/>
        </w:pict>
      </w:r>
    </w:p>
    <w:bookmarkEnd w:id="9"/>
    <w:bookmarkStart w:id="10" w:name="letter-of-intent"/>
    <w:p>
      <w:pPr>
        <w:pStyle w:val="Heading1"/>
      </w:pPr>
      <w:r>
        <w:t xml:space="preserve">LETTER OF INTENT</w:t>
      </w:r>
    </w:p>
    <w:bookmarkEnd w:id="10"/>
    <w:bookmarkStart w:id="31" w:name="X246cc9ab43d98f11028b51b0292d19fc8f0c1b5"/>
    <w:p>
      <w:pPr>
        <w:pStyle w:val="Heading1"/>
      </w:pPr>
      <w:r>
        <w:t xml:space="preserve">Memorandum of Understanding, Software Pilot Agreement</w:t>
      </w:r>
    </w:p>
    <w:p>
      <w:pPr>
        <w:pStyle w:val="FirstParagraph"/>
      </w:pPr>
      <w:r>
        <w:rPr>
          <w:b/>
          <w:bCs/>
        </w:rPr>
        <w:t xml:space="preserve">Between:</w:t>
      </w:r>
      <w:r>
        <w:t xml:space="preserve"> </w:t>
      </w:r>
      <w:r>
        <w:t xml:space="preserve">KJF Professional Services LLC, doing business as STTIL Solutions (</w:t>
      </w:r>
      <w:r>
        <w:t xml:space="preserve">“STTIL Solutions”</w:t>
      </w:r>
      <w:r>
        <w:t xml:space="preserve">)</w:t>
      </w:r>
      <w:r>
        <w:t xml:space="preserve"> </w:t>
      </w:r>
      <w:r>
        <w:t xml:space="preserve">A limited liability company organized in [STATE, confirm formation state with counsel]</w:t>
      </w:r>
      <w:r>
        <w:t xml:space="preserve"> </w:t>
      </w:r>
      <w:r>
        <w:t xml:space="preserve">[STTIL ADDRESS]</w:t>
      </w:r>
    </w:p>
    <w:p>
      <w:pPr>
        <w:pStyle w:val="BodyText"/>
      </w:pPr>
      <w:r>
        <w:rPr>
          <w:b/>
          <w:bCs/>
        </w:rPr>
        <w:t xml:space="preserve">And:</w:t>
      </w:r>
      <w:r>
        <w:t xml:space="preserve"> </w:t>
      </w:r>
      <w:r>
        <w:t xml:space="preserve">[PILOT PARTNER FULL LEGAL NAME] (</w:t>
      </w:r>
      <w:r>
        <w:t xml:space="preserve">“Pilot Partner”</w:t>
      </w:r>
      <w:r>
        <w:t xml:space="preserve">)</w:t>
      </w:r>
      <w:r>
        <w:t xml:space="preserve"> </w:t>
      </w:r>
      <w:r>
        <w:t xml:space="preserve">A [entity type and state of formation]</w:t>
      </w:r>
      <w:r>
        <w:t xml:space="preserve"> </w:t>
      </w:r>
      <w:r>
        <w:t xml:space="preserve">[PILOT PARTNER ADDRESS]</w:t>
      </w:r>
    </w:p>
    <w:p>
      <w:pPr>
        <w:pStyle w:val="BodyText"/>
      </w:pPr>
      <w:r>
        <w:rPr>
          <w:b/>
          <w:bCs/>
        </w:rPr>
        <w:t xml:space="preserve">Date:</w:t>
      </w:r>
      <w:r>
        <w:t xml:space="preserve"> </w:t>
      </w:r>
      <w:r>
        <w:t xml:space="preserve">[DATE]</w:t>
      </w:r>
      <w:r>
        <w:t xml:space="preserve"> </w:t>
      </w:r>
      <w:r>
        <w:rPr>
          <w:b/>
          <w:bCs/>
        </w:rPr>
        <w:t xml:space="preserve">Effective Date:</w:t>
      </w:r>
      <w:r>
        <w:t xml:space="preserve"> </w:t>
      </w:r>
      <w:r>
        <w:t xml:space="preserve">[PILOT START DATE]</w:t>
      </w:r>
      <w:r>
        <w:t xml:space="preserve"> </w:t>
      </w:r>
      <w:r>
        <w:rPr>
          <w:b/>
          <w:bCs/>
        </w:rPr>
        <w:t xml:space="preserve">Product covered by this pilot:</w:t>
      </w:r>
      <w:r>
        <w:t xml:space="preserve"> </w:t>
      </w:r>
      <w:r>
        <w:t xml:space="preserve">the STTIL Solutions product identified in Exhibit A (the</w:t>
      </w:r>
      <w:r>
        <w:t xml:space="preserve"> </w:t>
      </w:r>
      <w:r>
        <w:t xml:space="preserve">“Product”</w:t>
      </w:r>
      <w:r>
        <w:t xml:space="preserve">)</w:t>
      </w:r>
    </w:p>
    <w:p>
      <w:r>
        <w:pict>
          <v:rect style="width:0;height:1.5pt" o:hralign="center" o:hrstd="t" o:hr="t"/>
        </w:pict>
      </w:r>
    </w:p>
    <w:bookmarkStart w:id="11" w:name="at-a-glance"/>
    <w:p>
      <w:pPr>
        <w:pStyle w:val="Heading2"/>
      </w:pPr>
      <w:r>
        <w:t xml:space="preserve">AT A GLANCE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Details</w:t>
            </w:r>
          </w:p>
        </w:tc>
      </w:tr>
      <w:tr>
        <w:tc>
          <w:tcPr/>
          <w:p>
            <w:pPr>
              <w:pStyle w:val="Compact"/>
            </w:pPr>
            <w:r>
              <w:t xml:space="preserve">Pilot duration</w:t>
            </w:r>
          </w:p>
        </w:tc>
        <w:tc>
          <w:tcPr/>
          <w:p>
            <w:pPr>
              <w:pStyle w:val="Compact"/>
            </w:pPr>
            <w:r>
              <w:t xml:space="preserve">90 days from the Effective Date</w:t>
            </w:r>
          </w:p>
        </w:tc>
      </w:tr>
      <w:tr>
        <w:tc>
          <w:tcPr/>
          <w:p>
            <w:pPr>
              <w:pStyle w:val="Compact"/>
            </w:pPr>
            <w:r>
              <w:t xml:space="preserve">Cost to Pilot Partner</w:t>
            </w:r>
          </w:p>
        </w:tc>
        <w:tc>
          <w:tcPr/>
          <w:p>
            <w:pPr>
              <w:pStyle w:val="Compact"/>
            </w:pPr>
            <w:r>
              <w:t xml:space="preserve">No charge during the pilot period</w:t>
            </w:r>
          </w:p>
        </w:tc>
      </w:tr>
      <w:tr>
        <w:tc>
          <w:tcPr/>
          <w:p>
            <w:pPr>
              <w:pStyle w:val="Compact"/>
            </w:pPr>
            <w:r>
              <w:t xml:space="preserve">What you provide</w:t>
            </w:r>
          </w:p>
        </w:tc>
        <w:tc>
          <w:tcPr/>
          <w:p>
            <w:pPr>
              <w:pStyle w:val="Compact"/>
            </w:pPr>
            <w:r>
              <w:t xml:space="preserve">A data export from your existing system, in the format described in Exhibit A</w:t>
            </w:r>
          </w:p>
        </w:tc>
      </w:tr>
      <w:tr>
        <w:tc>
          <w:tcPr/>
          <w:p>
            <w:pPr>
              <w:pStyle w:val="Compact"/>
            </w:pPr>
            <w:r>
              <w:t xml:space="preserve">Data STTIL Solutions receives</w:t>
            </w:r>
          </w:p>
        </w:tc>
        <w:tc>
          <w:tcPr/>
          <w:p>
            <w:pPr>
              <w:pStyle w:val="Compact"/>
            </w:pPr>
            <w:r>
              <w:t xml:space="preserve">Only the fields listed in Exhibit A. No patient names, Social Security numbers, or dates of birth.</w:t>
            </w:r>
          </w:p>
        </w:tc>
      </w:tr>
      <w:tr>
        <w:tc>
          <w:tcPr/>
          <w:p>
            <w:pPr>
              <w:pStyle w:val="Compact"/>
            </w:pPr>
            <w:r>
              <w:t xml:space="preserve">How your data is used</w:t>
            </w:r>
          </w:p>
        </w:tc>
        <w:tc>
          <w:tcPr/>
          <w:p>
            <w:pPr>
              <w:pStyle w:val="Compact"/>
            </w:pPr>
            <w:r>
              <w:t xml:space="preserve">To operate the Product on your behalf only. Nothing else.</w:t>
            </w:r>
          </w:p>
        </w:tc>
      </w:tr>
      <w:tr>
        <w:tc>
          <w:tcPr/>
          <w:p>
            <w:pPr>
              <w:pStyle w:val="Compact"/>
            </w:pPr>
            <w:r>
              <w:t xml:space="preserve">Direct patient identifiers</w:t>
            </w:r>
          </w:p>
        </w:tc>
        <w:tc>
          <w:tcPr/>
          <w:p>
            <w:pPr>
              <w:pStyle w:val="Compact"/>
            </w:pPr>
            <w:r>
              <w:t xml:space="preserve">Not transmitted during the pilot. If the parties ever determine a data exchange requires it, a Business Associate Agreement is signed first (Section 5).</w:t>
            </w:r>
          </w:p>
        </w:tc>
      </w:tr>
      <w:tr>
        <w:tc>
          <w:tcPr/>
          <w:p>
            <w:pPr>
              <w:pStyle w:val="Compact"/>
            </w:pPr>
            <w:r>
              <w:t xml:space="preserve">Binding commitments in this document</w:t>
            </w:r>
          </w:p>
        </w:tc>
        <w:tc>
          <w:tcPr/>
          <w:p>
            <w:pPr>
              <w:pStyle w:val="Compact"/>
            </w:pPr>
            <w:r>
              <w:t xml:space="preserve">IP (Section 8), Confidentiality (Section 9), Publicity (Section 10), Withdrawal notice (Section 11), Liability (Section 12), Dispute resolution (Section 14), Governing law (Section 15.2)</w:t>
            </w:r>
          </w:p>
        </w:tc>
      </w:tr>
      <w:tr>
        <w:tc>
          <w:tcPr/>
          <w:p>
            <w:pPr>
              <w:pStyle w:val="Compact"/>
            </w:pPr>
            <w:r>
              <w:t xml:space="preserve">Either party can exit</w:t>
            </w:r>
          </w:p>
        </w:tc>
        <w:tc>
          <w:tcPr/>
          <w:p>
            <w:pPr>
              <w:pStyle w:val="Compact"/>
            </w:pPr>
            <w:r>
              <w:t xml:space="preserve">30 days written notice, no penalty</w:t>
            </w:r>
          </w:p>
        </w:tc>
      </w:tr>
    </w:tbl>
    <w:p>
      <w:pPr>
        <w:pStyle w:val="BodyText"/>
      </w:pPr>
      <w:r>
        <w:rPr>
          <w:i/>
          <w:iCs/>
        </w:rPr>
        <w:t xml:space="preserve">This table is for orientation only. The full terms are in the sections below.</w:t>
      </w:r>
    </w:p>
    <w:p>
      <w:r>
        <w:pict>
          <v:rect style="width:0;height:1.5pt" o:hralign="center" o:hrstd="t" o:hr="t"/>
        </w:pict>
      </w:r>
    </w:p>
    <w:bookmarkEnd w:id="11"/>
    <w:bookmarkStart w:id="12" w:name="purpose"/>
    <w:p>
      <w:pPr>
        <w:pStyle w:val="Heading2"/>
      </w:pPr>
      <w:r>
        <w:t xml:space="preserve">PURPOSE</w:t>
      </w:r>
    </w:p>
    <w:p>
      <w:pPr>
        <w:pStyle w:val="FirstParagraph"/>
      </w:pPr>
      <w:r>
        <w:t xml:space="preserve">This Letter of Intent (</w:t>
      </w:r>
      <w:r>
        <w:t xml:space="preserve">“LOI”</w:t>
      </w:r>
      <w:r>
        <w:t xml:space="preserve">) documents the mutual interest of STTIL Solutions and [PILOT PARTNER NAME] in exploring a structured software pilot of the Product described in Exhibit A. This LOI is non-binding except where expressly stated in Section 2.3. Its purpose is to formalize the pilot scope, shared expectations, and a path to a full commercial agreement.</w:t>
      </w:r>
    </w:p>
    <w:p>
      <w:pPr>
        <w:pStyle w:val="BodyText"/>
      </w:pPr>
      <w:r>
        <w:t xml:space="preserve">Nothing in this LOI creates an obligation to enter into a final agreement. Either party may discontinue the pilot at any time in accordance with the notice provisions in Section 11.</w:t>
      </w:r>
    </w:p>
    <w:p>
      <w:r>
        <w:pict>
          <v:rect style="width:0;height:1.5pt" o:hralign="center" o:hrstd="t" o:hr="t"/>
        </w:pict>
      </w:r>
    </w:p>
    <w:bookmarkEnd w:id="12"/>
    <w:bookmarkStart w:id="13" w:name="section-1.-background"/>
    <w:p>
      <w:pPr>
        <w:pStyle w:val="Heading2"/>
      </w:pPr>
      <w:r>
        <w:t xml:space="preserve">SECTION 1. BACKGROUND</w:t>
      </w:r>
    </w:p>
    <w:p>
      <w:pPr>
        <w:pStyle w:val="FirstParagraph"/>
      </w:pPr>
      <w:r>
        <w:t xml:space="preserve">STTIL Solutions develops healthcare infrastructure software for healthcare suppliers and revenue cycle operations. The specific Product covered by this pilot, what it does, and what it does not do, are described in Exhibit A.</w:t>
      </w:r>
    </w:p>
    <w:p>
      <w:pPr>
        <w:pStyle w:val="BodyText"/>
      </w:pPr>
      <w:r>
        <w:t xml:space="preserve">[PILOT PARTNER NAME] operates in the healthcare supply chain and has expressed interest in evaluating the Product to support its operations as described in Exhibit A.</w:t>
      </w:r>
    </w:p>
    <w:p>
      <w:r>
        <w:pict>
          <v:rect style="width:0;height:1.5pt" o:hralign="center" o:hrstd="t" o:hr="t"/>
        </w:pict>
      </w:r>
    </w:p>
    <w:bookmarkEnd w:id="13"/>
    <w:bookmarkStart w:id="14" w:name="section-2.-nature-of-this-agreement"/>
    <w:p>
      <w:pPr>
        <w:pStyle w:val="Heading2"/>
      </w:pPr>
      <w:r>
        <w:t xml:space="preserve">SECTION 2. NATURE OF THIS AGREEMENT</w:t>
      </w:r>
    </w:p>
    <w:p>
      <w:pPr>
        <w:pStyle w:val="FirstParagraph"/>
      </w:pPr>
      <w:r>
        <w:t xml:space="preserve">2.1 This LOI is primarily a non-binding memorandum of understanding. It does not constitute a contract for services, a licensing agreement, or a commitment to purchase.</w:t>
      </w:r>
    </w:p>
    <w:p>
      <w:pPr>
        <w:pStyle w:val="BodyText"/>
      </w:pPr>
      <w:r>
        <w:t xml:space="preserve">2.2 The parties intend this LOI to: (a) define the scope of a structured 90-day pilot; (b) establish shared expectations for participation; (c) document data handling practices for purposes of due diligence; and (d) provide a framework for evaluating the Product and progressing toward a full commercial agreement.</w:t>
      </w:r>
    </w:p>
    <w:p>
      <w:pPr>
        <w:pStyle w:val="BodyText"/>
      </w:pPr>
      <w:r>
        <w:t xml:space="preserve">2.3</w:t>
      </w:r>
      <w:r>
        <w:t xml:space="preserve"> </w:t>
      </w:r>
      <w:r>
        <w:rPr>
          <w:b/>
          <w:bCs/>
        </w:rPr>
        <w:t xml:space="preserve">Binding provisions.</w:t>
      </w:r>
      <w:r>
        <w:t xml:space="preserve"> </w:t>
      </w:r>
      <w:r>
        <w:t xml:space="preserve">Notwithstanding the overall non-binding nature of this LOI, the following Sections are intended to be binding and enforceable: Section 8 (Intellectual Property), Section 9 (Confidentiality), Section 10 (Publicity), Section 11 (Termination and Notice), Section 12 (Limitation of Liability), Section 14 (Dispute Resolution), and Section 15.2 (Governing Law). All other provisions, including the AT A GLANCE table and Sections 1, 3, 4, 5, 6, 7, and 13, are expressions of mutual intent only and are not binding obligations. This structure, binding protective provisions inside an otherwise non-binding letter of intent, is intentional and reflects the parties’ agreement that confidentiality, intellectual property, publicity, and liability terms should be enforceable whether or not a definitive agreement is reached.</w:t>
      </w:r>
    </w:p>
    <w:p>
      <w:r>
        <w:pict>
          <v:rect style="width:0;height:1.5pt" o:hralign="center" o:hrstd="t" o:hr="t"/>
        </w:pict>
      </w:r>
    </w:p>
    <w:bookmarkEnd w:id="14"/>
    <w:bookmarkStart w:id="15" w:name="section-3.-pilot-scope"/>
    <w:p>
      <w:pPr>
        <w:pStyle w:val="Heading2"/>
      </w:pPr>
      <w:r>
        <w:t xml:space="preserve">SECTION 3. PILOT SCOPE</w:t>
      </w:r>
    </w:p>
    <w:p>
      <w:pPr>
        <w:pStyle w:val="FirstParagraph"/>
      </w:pPr>
      <w:r>
        <w:t xml:space="preserve">3.1</w:t>
      </w:r>
      <w:r>
        <w:t xml:space="preserve"> </w:t>
      </w:r>
      <w:r>
        <w:rPr>
          <w:b/>
          <w:bCs/>
        </w:rPr>
        <w:t xml:space="preserve">Product and environment.</w:t>
      </w:r>
      <w:r>
        <w:t xml:space="preserve"> </w:t>
      </w:r>
      <w:r>
        <w:t xml:space="preserve">The pilot covers the Product identified in Exhibit A, hosted and operated as described in Exhibit A. Each pilot organization accesses a segregated, organization-scoped environment. [PILOT PARTNER NAME] will see only its own data.</w:t>
      </w:r>
    </w:p>
    <w:p>
      <w:pPr>
        <w:pStyle w:val="BodyText"/>
      </w:pPr>
      <w:r>
        <w:t xml:space="preserve">3.2</w:t>
      </w:r>
      <w:r>
        <w:t xml:space="preserve"> </w:t>
      </w:r>
      <w:r>
        <w:rPr>
          <w:b/>
          <w:bCs/>
        </w:rPr>
        <w:t xml:space="preserve">Functionality covered during the pilot.</w:t>
      </w:r>
      <w:r>
        <w:t xml:space="preserve"> </w:t>
      </w:r>
      <w:r>
        <w:t xml:space="preserve">The specific functions the Product performs during the pilot, and the specific inputs it receives, are set out in Exhibit A.</w:t>
      </w:r>
    </w:p>
    <w:p>
      <w:pPr>
        <w:pStyle w:val="BodyText"/>
      </w:pPr>
      <w:r>
        <w:t xml:space="preserve">3.3</w:t>
      </w:r>
      <w:r>
        <w:t xml:space="preserve"> </w:t>
      </w:r>
      <w:r>
        <w:rPr>
          <w:b/>
          <w:bCs/>
        </w:rPr>
        <w:t xml:space="preserve">What the Product does not do.</w:t>
      </w:r>
      <w:r>
        <w:t xml:space="preserve"> </w:t>
      </w:r>
      <w:r>
        <w:t xml:space="preserve">The Product’s boundaries are stated in Exhibit A. As a general matter, the Product produces information for [PILOT PARTNER NAME]’s staff to act on. It does not take any action in [PILOT PARTNER NAME]’s name. All decisions and any outreach remain with [PILOT PARTNER NAME]’s staff.</w:t>
      </w:r>
    </w:p>
    <w:p>
      <w:pPr>
        <w:pStyle w:val="BodyText"/>
      </w:pPr>
      <w:r>
        <w:t xml:space="preserve">3.4</w:t>
      </w:r>
      <w:r>
        <w:t xml:space="preserve"> </w:t>
      </w:r>
      <w:r>
        <w:rPr>
          <w:b/>
          <w:bCs/>
        </w:rPr>
        <w:t xml:space="preserve">Evaluation only.</w:t>
      </w:r>
      <w:r>
        <w:t xml:space="preserve"> </w:t>
      </w:r>
      <w:r>
        <w:t xml:space="preserve">[PILOT PARTNER NAME] will use the Product for evaluation purposes during the pilot period. The Product’s outputs are intended to support staff review. They are not a substitute for [PILOT PARTNER NAME]’s own clinical, billing, or compliance judgment. [PILOT PARTNER NAME] retains full responsibility for any billing, clinical, or compliance decisions made during the pilot period.</w:t>
      </w:r>
    </w:p>
    <w:p>
      <w:pPr>
        <w:pStyle w:val="BodyText"/>
      </w:pPr>
      <w:r>
        <w:t xml:space="preserve">3.5</w:t>
      </w:r>
      <w:r>
        <w:t xml:space="preserve"> </w:t>
      </w:r>
      <w:r>
        <w:rPr>
          <w:b/>
          <w:bCs/>
        </w:rPr>
        <w:t xml:space="preserve">Staff participation.</w:t>
      </w:r>
      <w:r>
        <w:t xml:space="preserve"> </w:t>
      </w:r>
      <w:r>
        <w:t xml:space="preserve">[PILOT PARTNER NAME] agrees to designate a primary point of contact ([CONTACT NAME], [TITLE]) who will participate in onboarding, provide data files for ingestion, and provide feedback during the pilot period.</w:t>
      </w:r>
    </w:p>
    <w:p>
      <w:pPr>
        <w:pStyle w:val="BodyText"/>
      </w:pPr>
      <w:r>
        <w:t xml:space="preserve">3.6</w:t>
      </w:r>
      <w:r>
        <w:t xml:space="preserve"> </w:t>
      </w:r>
      <w:r>
        <w:rPr>
          <w:b/>
          <w:bCs/>
        </w:rPr>
        <w:t xml:space="preserve">Onboarding.</w:t>
      </w:r>
      <w:r>
        <w:t xml:space="preserve"> </w:t>
      </w:r>
      <w:r>
        <w:t xml:space="preserve">STTIL Solutions will provide onboarding support, including data mapping assistance and a walkthrough of the interface. Onboarding is expected to require no more than [X] hours of [PILOT PARTNER NAME]’s staff time in the first two weeks.</w:t>
      </w:r>
    </w:p>
    <w:p>
      <w:r>
        <w:pict>
          <v:rect style="width:0;height:1.5pt" o:hralign="center" o:hrstd="t" o:hr="t"/>
        </w:pict>
      </w:r>
    </w:p>
    <w:bookmarkEnd w:id="15"/>
    <w:bookmarkStart w:id="16" w:name="section-4.-pilot-duration"/>
    <w:p>
      <w:pPr>
        <w:pStyle w:val="Heading2"/>
      </w:pPr>
      <w:r>
        <w:t xml:space="preserve">SECTION 4. PILOT DURATION</w:t>
      </w:r>
    </w:p>
    <w:p>
      <w:pPr>
        <w:pStyle w:val="FirstParagraph"/>
      </w:pPr>
      <w:r>
        <w:t xml:space="preserve">4.1 The pilot period is 90 days beginning on the Effective Date, unless extended by mutual written agreement or terminated earlier under Section 11.</w:t>
      </w:r>
    </w:p>
    <w:p>
      <w:pPr>
        <w:pStyle w:val="BodyText"/>
      </w:pPr>
      <w:r>
        <w:t xml:space="preserve">4.2 At the conclusion of the pilot period, the parties will schedule a closing review meeting to assess results against the success criteria in Section 6 and to discuss whether to proceed to a full commercial agreement.</w:t>
      </w:r>
    </w:p>
    <w:p>
      <w:pPr>
        <w:pStyle w:val="BodyText"/>
      </w:pPr>
      <w:r>
        <w:t xml:space="preserve">4.3 If the pilot has not commenced within 180 days of the date signatures are exchanged, this LOI expires automatically with no further obligation on either party.</w:t>
      </w:r>
    </w:p>
    <w:p>
      <w:r>
        <w:pict>
          <v:rect style="width:0;height:1.5pt" o:hralign="center" o:hrstd="t" o:hr="t"/>
        </w:pict>
      </w:r>
    </w:p>
    <w:bookmarkEnd w:id="16"/>
    <w:bookmarkStart w:id="17" w:name="section-5.-data-handling"/>
    <w:p>
      <w:pPr>
        <w:pStyle w:val="Heading2"/>
      </w:pPr>
      <w:r>
        <w:t xml:space="preserve">SECTION 5. DATA HANDLING</w:t>
      </w:r>
    </w:p>
    <w:p>
      <w:pPr>
        <w:pStyle w:val="FirstParagraph"/>
      </w:pPr>
      <w:r>
        <w:t xml:space="preserve">5.1</w:t>
      </w:r>
      <w:r>
        <w:t xml:space="preserve"> </w:t>
      </w:r>
      <w:r>
        <w:rPr>
          <w:b/>
          <w:bCs/>
        </w:rPr>
        <w:t xml:space="preserve">Data architecture.</w:t>
      </w:r>
      <w:r>
        <w:t xml:space="preserve"> </w:t>
      </w:r>
      <w:r>
        <w:t xml:space="preserve">The Product is designed to operate without storing protected health information (PHI) as defined under the Health Insurance Portability and Accountability Act of 1996 and its implementing regulations (</w:t>
      </w:r>
      <w:r>
        <w:t xml:space="preserve">“HIPAA”</w:t>
      </w:r>
      <w:r>
        <w:t xml:space="preserve">). [PILOT PARTNER NAME] will submit only the minimum-necessary fields listed in Exhibit A, using its own internal identifier for each record. The Product does not require, and [PILOT PARTNER NAME] will not submit, patient names, dates of birth, Social Security numbers, addresses, or direct contact information at any time during the pilot.</w:t>
      </w:r>
    </w:p>
    <w:p>
      <w:pPr>
        <w:pStyle w:val="BodyText"/>
      </w:pPr>
      <w:r>
        <w:t xml:space="preserve">5.2</w:t>
      </w:r>
      <w:r>
        <w:t xml:space="preserve"> </w:t>
      </w:r>
      <w:r>
        <w:rPr>
          <w:b/>
          <w:bCs/>
        </w:rPr>
        <w:t xml:space="preserve">Crosswalk mapping.</w:t>
      </w:r>
      <w:r>
        <w:t xml:space="preserve"> </w:t>
      </w:r>
      <w:r>
        <w:t xml:space="preserve">The mapping between the internal identifier submitted to the Product and the real identity of the individual is maintained solely by [PILOT PARTNER NAME] in its own systems. STTIL Solutions does not receive, store, or process that mapping.</w:t>
      </w:r>
    </w:p>
    <w:p>
      <w:pPr>
        <w:pStyle w:val="BodyText"/>
      </w:pPr>
      <w:r>
        <w:t xml:space="preserve">5.3</w:t>
      </w:r>
      <w:r>
        <w:t xml:space="preserve"> </w:t>
      </w:r>
      <w:r>
        <w:rPr>
          <w:b/>
          <w:bCs/>
        </w:rPr>
        <w:t xml:space="preserve">Business Associate Agreement.</w:t>
      </w:r>
      <w:r>
        <w:t xml:space="preserve"> </w:t>
      </w:r>
      <w:r>
        <w:t xml:space="preserve">The Product’s architecture is designed to avoid PHI ingestion, and whether a Business Associate Agreement (</w:t>
      </w:r>
      <w:r>
        <w:t xml:space="preserve">“BAA”</w:t>
      </w:r>
      <w:r>
        <w:t xml:space="preserve">) is legally required for this pilot is a question the parties will confirm with their respective compliance advisors before transmitting any data. STTIL Solutions maintains a Mutual Business Associate Agreement template that the parties will execute before any exchange of data that either party’s compliance advisor determines to be PHI or PHI-adjacent. No such data will be exchanged under this LOI until any required BAA is signed.</w:t>
      </w:r>
    </w:p>
    <w:p>
      <w:pPr>
        <w:pStyle w:val="BodyText"/>
      </w:pPr>
      <w:r>
        <w:t xml:space="preserve">5.4</w:t>
      </w:r>
      <w:r>
        <w:t xml:space="preserve"> </w:t>
      </w:r>
      <w:r>
        <w:rPr>
          <w:b/>
          <w:bCs/>
        </w:rPr>
        <w:t xml:space="preserve">Data use.</w:t>
      </w:r>
      <w:r>
        <w:t xml:space="preserve"> </w:t>
      </w:r>
      <w:r>
        <w:t xml:space="preserve">Data submitted by [PILOT PARTNER NAME] will be used solely to operate the Product on [PILOT PARTNER NAME]’s behalf during the pilot period. STTIL Solutions will not use [PILOT PARTNER NAME]’s data for product development, cross-organization benchmarking, or any other purpose.</w:t>
      </w:r>
    </w:p>
    <w:p>
      <w:pPr>
        <w:pStyle w:val="BodyText"/>
      </w:pPr>
      <w:r>
        <w:t xml:space="preserve">5.5</w:t>
      </w:r>
      <w:r>
        <w:t xml:space="preserve"> </w:t>
      </w:r>
      <w:r>
        <w:rPr>
          <w:b/>
          <w:bCs/>
        </w:rPr>
        <w:t xml:space="preserve">Data return and deletion.</w:t>
      </w:r>
      <w:r>
        <w:t xml:space="preserve"> </w:t>
      </w:r>
      <w:r>
        <w:t xml:space="preserve">Upon conclusion or termination of the pilot, STTIL Solutions will, at [PILOT PARTNER NAME]’s written request, delete [PILOT PARTNER NAME]’s data from the Product’s database within 30 business days and provide written confirmation of deletion.</w:t>
      </w:r>
    </w:p>
    <w:p>
      <w:r>
        <w:pict>
          <v:rect style="width:0;height:1.5pt" o:hralign="center" o:hrstd="t" o:hr="t"/>
        </w:pict>
      </w:r>
    </w:p>
    <w:bookmarkEnd w:id="17"/>
    <w:bookmarkStart w:id="18" w:name="section-6.-success-criteria"/>
    <w:p>
      <w:pPr>
        <w:pStyle w:val="Heading2"/>
      </w:pPr>
      <w:r>
        <w:t xml:space="preserve">SECTION 6. SUCCESS CRITERIA</w:t>
      </w:r>
    </w:p>
    <w:p>
      <w:pPr>
        <w:pStyle w:val="FirstParagraph"/>
      </w:pPr>
      <w:r>
        <w:t xml:space="preserve">The parties agree that a successful pilot will be evaluated against the framework set out in Exhibit A. Specific numeric targets and baselines will be agreed upon in writing by both parties within the first 14 days of the pilot.</w:t>
      </w:r>
    </w:p>
    <w:p>
      <w:pPr>
        <w:pStyle w:val="BodyText"/>
      </w:pPr>
      <w:r>
        <w:t xml:space="preserve">6.1 Neither party is obligated to proceed to a full commercial agreement regardless of the Product’s performance against these criteria. The criteria provide a shared language for evaluation, not a contractual standard of performance.</w:t>
      </w:r>
    </w:p>
    <w:p>
      <w:pPr>
        <w:pStyle w:val="BodyText"/>
      </w:pPr>
      <w:r>
        <w:t xml:space="preserve">6.2 The parties acknowledge that the Product measures the specific readiness or operational metric described in Exhibit A. It does not warrant, and STTIL Solutions does not represent, any downstream financial, clinical, or claims outcome. Any downstream improvement is trackable but is not guaranteed.</w:t>
      </w:r>
    </w:p>
    <w:p>
      <w:r>
        <w:pict>
          <v:rect style="width:0;height:1.5pt" o:hralign="center" o:hrstd="t" o:hr="t"/>
        </w:pict>
      </w:r>
    </w:p>
    <w:bookmarkEnd w:id="18"/>
    <w:bookmarkStart w:id="19" w:name="section-7.-financial-terms"/>
    <w:p>
      <w:pPr>
        <w:pStyle w:val="Heading2"/>
      </w:pPr>
      <w:r>
        <w:t xml:space="preserve">SECTION 7. FINANCIAL TERMS</w:t>
      </w:r>
    </w:p>
    <w:p>
      <w:pPr>
        <w:pStyle w:val="FirstParagraph"/>
      </w:pPr>
      <w:r>
        <w:t xml:space="preserve">7.1 There is no financial obligation on either party under this LOI. The pilot is provided at no cost to [PILOT PARTNER NAME] during the 90-day pilot period.</w:t>
      </w:r>
    </w:p>
    <w:p>
      <w:pPr>
        <w:pStyle w:val="BodyText"/>
      </w:pPr>
      <w:r>
        <w:t xml:space="preserve">7.2 Pricing for a full commercial agreement, if the parties elect to proceed, will be negotiated separately and documented in a formal software subscription agreement. No pricing commitment is made or implied in this LOI.</w:t>
      </w:r>
    </w:p>
    <w:p>
      <w:r>
        <w:pict>
          <v:rect style="width:0;height:1.5pt" o:hralign="center" o:hrstd="t" o:hr="t"/>
        </w:pict>
      </w:r>
    </w:p>
    <w:bookmarkEnd w:id="19"/>
    <w:bookmarkStart w:id="20" w:name="section-8.-intellectual-property-binding"/>
    <w:p>
      <w:pPr>
        <w:pStyle w:val="Heading2"/>
      </w:pPr>
      <w:r>
        <w:t xml:space="preserve">SECTION 8. INTELLECTUAL PROPERTY (BINDING)</w:t>
      </w:r>
    </w:p>
    <w:p>
      <w:pPr>
        <w:pStyle w:val="FirstParagraph"/>
      </w:pPr>
      <w:r>
        <w:t xml:space="preserve">8.1 STTIL Solutions retains all ownership of the Product, including its underlying software, algorithms, data models, payer and coverage logic, scoring formulas, proprietary rule sets, interface designs, and documentation. Nothing in this LOI transfers any intellectual property rights to [PILOT PARTNER NAME].</w:t>
      </w:r>
    </w:p>
    <w:p>
      <w:pPr>
        <w:pStyle w:val="BodyText"/>
      </w:pPr>
      <w:r>
        <w:t xml:space="preserve">8.2 [PILOT PARTNER NAME] retains all ownership of its data, records, operational materials, and pre-existing intellectual property. Nothing in this LOI transfers any data rights to STTIL Solutions beyond what is expressly authorized in Section 5.</w:t>
      </w:r>
    </w:p>
    <w:p>
      <w:pPr>
        <w:pStyle w:val="BodyText"/>
      </w:pPr>
      <w:r>
        <w:t xml:space="preserve">8.3</w:t>
      </w:r>
      <w:r>
        <w:t xml:space="preserve"> </w:t>
      </w:r>
      <w:r>
        <w:rPr>
          <w:b/>
          <w:bCs/>
        </w:rPr>
        <w:t xml:space="preserve">Modifications and enhancements during the pilot.</w:t>
      </w:r>
      <w:r>
        <w:t xml:space="preserve"> </w:t>
      </w:r>
      <w:r>
        <w:t xml:space="preserve">STTIL Solutions retains all right, title, and interest in and to any modification, enhancement, customization, configuration, extension, or derivative work of the Product that is conceived, developed, or made during the pilot period, regardless of which party requested, suggested, inspired, or funded it. If a modification or enhancement is developed in response to [PILOT PARTNER NAME]’s input, [PILOT PARTNER NAME] receives the benefit of using it during the pilot but acquires no ownership interest in it. To the extent any right in such a modification or enhancement would vest in [PILOT PARTNER NAME] by operation of law, [PILOT PARTNER NAME] assigns that right to STTIL Solutions.</w:t>
      </w:r>
    </w:p>
    <w:p>
      <w:pPr>
        <w:pStyle w:val="BodyText"/>
      </w:pPr>
      <w:r>
        <w:t xml:space="preserve">8.4</w:t>
      </w:r>
      <w:r>
        <w:t xml:space="preserve"> </w:t>
      </w:r>
      <w:r>
        <w:rPr>
          <w:b/>
          <w:bCs/>
        </w:rPr>
        <w:t xml:space="preserve">Partner pre-existing materials and documented concepts.</w:t>
      </w:r>
      <w:r>
        <w:t xml:space="preserve"> </w:t>
      </w:r>
      <w:r>
        <w:t xml:space="preserve">STTIL Solutions acknowledges that [PILOT PARTNER NAME] may bring pre-existing domain expertise, operational knowledge, and proprietary frameworks to this relationship. Any pre-existing framework, methodology, or process that [PILOT PARTNER NAME] documents in a contemporaneous written record before or at the time of disclosure to STTIL Solutions (</w:t>
      </w:r>
      <w:r>
        <w:t xml:space="preserve">“Partner Concepts”</w:t>
      </w:r>
      <w:r>
        <w:t xml:space="preserve">) remains [PILOT PARTNER NAME]’s property and will not be deemed a derivative work of the Product. This Section 8.4 does not grant [PILOT PARTNER NAME] any right, title, or interest in the Product or in any modification or enhancement of the Product under Section 8.3.</w:t>
      </w:r>
    </w:p>
    <w:p>
      <w:pPr>
        <w:pStyle w:val="BodyText"/>
      </w:pPr>
      <w:r>
        <w:t xml:space="preserve">8.5 STTIL Solutions is not required to provide [PILOT PARTNER NAME] with access to the Product’s source code, database schema, or technical architecture documentation.</w:t>
      </w:r>
    </w:p>
    <w:p>
      <w:pPr>
        <w:pStyle w:val="BodyText"/>
      </w:pPr>
      <w:r>
        <w:t xml:space="preserve">8.6</w:t>
      </w:r>
      <w:r>
        <w:t xml:space="preserve"> </w:t>
      </w:r>
      <w:r>
        <w:rPr>
          <w:b/>
          <w:bCs/>
        </w:rPr>
        <w:t xml:space="preserve">No exclusivity.</w:t>
      </w:r>
      <w:r>
        <w:t xml:space="preserve"> </w:t>
      </w:r>
      <w:r>
        <w:t xml:space="preserve">STTIL Solutions may pilot and commercialize the Product with other organizations simultaneously. This LOI does not grant [PILOT PARTNER NAME] any exclusive right to the Product or to STTIL Solutions’ time.</w:t>
      </w:r>
    </w:p>
    <w:p>
      <w:pPr>
        <w:pStyle w:val="BodyText"/>
      </w:pPr>
      <w:r>
        <w:t xml:space="preserve">8.7</w:t>
      </w:r>
      <w:r>
        <w:t xml:space="preserve"> </w:t>
      </w:r>
      <w:r>
        <w:rPr>
          <w:b/>
          <w:bCs/>
        </w:rPr>
        <w:t xml:space="preserve">Feedback license.</w:t>
      </w:r>
      <w:r>
        <w:t xml:space="preserve"> </w:t>
      </w:r>
      <w:r>
        <w:t xml:space="preserve">If [PILOT PARTNER NAME] shares suggestions, comments, or ideas about the Product during the pilot, [PILOT PARTNER NAME] grants STTIL Solutions a non-exclusive, royalty-free, perpetual, irrevocable license to use that feedback to develop or improve the Product or STTIL Solutions’ other products. STTIL Solutions will not identify [PILOT PARTNER NAME] as the source of any feedback without prior written permission. This license does not extend to Partner Concepts documented under Section 8.4.</w:t>
      </w:r>
    </w:p>
    <w:p>
      <w:pPr>
        <w:pStyle w:val="BodyText"/>
      </w:pPr>
      <w:r>
        <w:rPr>
          <w:i/>
          <w:iCs/>
        </w:rPr>
        <w:t xml:space="preserve">This Section 8 is binding and survives termination of this LOI.</w:t>
      </w:r>
    </w:p>
    <w:p>
      <w:r>
        <w:pict>
          <v:rect style="width:0;height:1.5pt" o:hralign="center" o:hrstd="t" o:hr="t"/>
        </w:pict>
      </w:r>
    </w:p>
    <w:bookmarkEnd w:id="20"/>
    <w:bookmarkStart w:id="21" w:name="section-9.-confidentiality-binding"/>
    <w:p>
      <w:pPr>
        <w:pStyle w:val="Heading2"/>
      </w:pPr>
      <w:r>
        <w:t xml:space="preserve">SECTION 9. CONFIDENTIALITY (BINDING)</w:t>
      </w:r>
    </w:p>
    <w:p>
      <w:pPr>
        <w:pStyle w:val="FirstParagraph"/>
      </w:pPr>
      <w:r>
        <w:t xml:space="preserve">9.1 Each party agrees to hold in confidence any non-public information shared by the other party in connection with this pilot (</w:t>
      </w:r>
      <w:r>
        <w:t xml:space="preserve">“Confidential Information”</w:t>
      </w:r>
      <w:r>
        <w:t xml:space="preserve">), including pricing discussions, product roadmap details, operational data, and the contents of this LOI.</w:t>
      </w:r>
    </w:p>
    <w:p>
      <w:pPr>
        <w:pStyle w:val="BodyText"/>
      </w:pPr>
      <w:r>
        <w:t xml:space="preserve">9.2</w:t>
      </w:r>
      <w:r>
        <w:t xml:space="preserve"> </w:t>
      </w:r>
      <w:r>
        <w:t xml:space="preserve">“Confidential Information”</w:t>
      </w:r>
      <w:r>
        <w:t xml:space="preserve"> </w:t>
      </w:r>
      <w:r>
        <w:t xml:space="preserve">does not include information that the receiving party can demonstrate: (a) is or becomes publicly available through no fault of the receiving party; (b) was already known to the receiving party before disclosure, without restriction; (c) was independently developed by the receiving party without use of or reference to the disclosing party’s Confidential Information; or (d) is received from a third party who obtained the information independently of the disclosing party, who was not subject to any confidentiality obligation to the disclosing party regarding it, and who had the legal right to disclose it. If disclosure is required by law or regulation, the receiving party may disclose only to the extent required and, where legally permitted, will give the disclosing party prompt written notice.</w:t>
      </w:r>
    </w:p>
    <w:p>
      <w:pPr>
        <w:pStyle w:val="BodyText"/>
      </w:pPr>
      <w:r>
        <w:t xml:space="preserve">9.3</w:t>
      </w:r>
      <w:r>
        <w:t xml:space="preserve"> </w:t>
      </w:r>
      <w:r>
        <w:rPr>
          <w:b/>
          <w:bCs/>
        </w:rPr>
        <w:t xml:space="preserve">Trade secret and duration.</w:t>
      </w:r>
      <w:r>
        <w:t xml:space="preserve"> </w:t>
      </w:r>
      <w:r>
        <w:t xml:space="preserve">The confidentiality obligation in this Section 9 continues for 36 months after the conclusion or termination of the pilot. Obligations relating to trade secrets survive for as long as the information qualifies as a trade secret under applicable law, including the Defend Trade Secrets Act (18 U.S.C. Section 1836 et seq.).</w:t>
      </w:r>
    </w:p>
    <w:p>
      <w:pPr>
        <w:pStyle w:val="BodyText"/>
      </w:pPr>
      <w:r>
        <w:t xml:space="preserve">9.4</w:t>
      </w:r>
      <w:r>
        <w:t xml:space="preserve"> </w:t>
      </w:r>
      <w:r>
        <w:rPr>
          <w:b/>
          <w:bCs/>
        </w:rPr>
        <w:t xml:space="preserve">Residuals carve-out.</w:t>
      </w:r>
      <w:r>
        <w:t xml:space="preserve"> </w:t>
      </w:r>
      <w:r>
        <w:t xml:space="preserve">General ideas, concepts, and know-how retained in the unaided memory of a party’s personnel may be used for any purpose. This does not permit the deliberate extraction, memorization, or reuse of STTIL Solutions’ specific algorithms, payer or coverage logic, scoring formulas, or documentation-readiness rule sets, which remain STTIL Solutions’ Confidential Information and, where applicable, trade secrets, regardless of how they are retained.</w:t>
      </w:r>
    </w:p>
    <w:p>
      <w:pPr>
        <w:pStyle w:val="BodyText"/>
      </w:pPr>
      <w:r>
        <w:rPr>
          <w:i/>
          <w:iCs/>
        </w:rPr>
        <w:t xml:space="preserve">This Section 9 is binding and survives termination of this LOI.</w:t>
      </w:r>
    </w:p>
    <w:p>
      <w:r>
        <w:pict>
          <v:rect style="width:0;height:1.5pt" o:hralign="center" o:hrstd="t" o:hr="t"/>
        </w:pict>
      </w:r>
    </w:p>
    <w:bookmarkEnd w:id="21"/>
    <w:bookmarkStart w:id="22" w:name="section-10.-publicity-binding"/>
    <w:p>
      <w:pPr>
        <w:pStyle w:val="Heading2"/>
      </w:pPr>
      <w:r>
        <w:t xml:space="preserve">SECTION 10. PUBLICITY (BINDING)</w:t>
      </w:r>
    </w:p>
    <w:p>
      <w:pPr>
        <w:pStyle w:val="FirstParagraph"/>
      </w:pPr>
      <w:r>
        <w:t xml:space="preserve">10.1 Neither party may issue any press release or public statement regarding this LOI or the pilot, nor use the other party’s name, logo, or marks in any marketing, customer list, website, fundraising, or publicity material, without the other party’s prior written consent in each instance.</w:t>
      </w:r>
    </w:p>
    <w:p>
      <w:pPr>
        <w:pStyle w:val="BodyText"/>
      </w:pPr>
      <w:r>
        <w:t xml:space="preserve">10.2 Neither party will reference the other by name, or in a manner that reasonably identifies the other, in any investor presentation, fundraising material, or board communication without the other party’s prior written consent. This restriction applies equally to both parties and is intended to ensure each party controls its own narrative with respect to investors and stakeholders.</w:t>
      </w:r>
    </w:p>
    <w:p>
      <w:pPr>
        <w:pStyle w:val="BodyText"/>
      </w:pPr>
      <w:r>
        <w:t xml:space="preserve">10.3 The parties may agree in a later definitive agreement to approved launch-partner or customer-reference language.</w:t>
      </w:r>
    </w:p>
    <w:p>
      <w:pPr>
        <w:pStyle w:val="BodyText"/>
      </w:pPr>
      <w:r>
        <w:rPr>
          <w:i/>
          <w:iCs/>
        </w:rPr>
        <w:t xml:space="preserve">This Section 10 is binding and survives termination of this LOI.</w:t>
      </w:r>
    </w:p>
    <w:p>
      <w:r>
        <w:pict>
          <v:rect style="width:0;height:1.5pt" o:hralign="center" o:hrstd="t" o:hr="t"/>
        </w:pict>
      </w:r>
    </w:p>
    <w:bookmarkEnd w:id="22"/>
    <w:bookmarkStart w:id="23" w:name="X86320da13a0fad0c80fbeb75ddb81b4aa7bc325"/>
    <w:p>
      <w:pPr>
        <w:pStyle w:val="Heading2"/>
      </w:pPr>
      <w:r>
        <w:t xml:space="preserve">SECTION 11. TERMINATION AND NOTICE (BINDING)</w:t>
      </w:r>
    </w:p>
    <w:p>
      <w:pPr>
        <w:pStyle w:val="FirstParagraph"/>
      </w:pPr>
      <w:r>
        <w:t xml:space="preserve">11.1 Either party may withdraw from this LOI and discontinue the pilot at any time by providing 30 days written notice to the other party.</w:t>
      </w:r>
    </w:p>
    <w:p>
      <w:pPr>
        <w:pStyle w:val="BodyText"/>
      </w:pPr>
      <w:r>
        <w:t xml:space="preserve">11.2 Notice must be delivered in writing to the contact information in the signature block. Email notice to the designated contacts is acceptable.</w:t>
      </w:r>
    </w:p>
    <w:p>
      <w:pPr>
        <w:pStyle w:val="BodyText"/>
      </w:pPr>
      <w:r>
        <w:t xml:space="preserve">11.3 Upon termination, STTIL Solutions will cease processing [PILOT PARTNER NAME]’s data. Data deletion will proceed as described in Section 5.5.</w:t>
      </w:r>
    </w:p>
    <w:p>
      <w:pPr>
        <w:pStyle w:val="BodyText"/>
      </w:pPr>
      <w:r>
        <w:rPr>
          <w:i/>
          <w:iCs/>
        </w:rPr>
        <w:t xml:space="preserve">This Section 11 is binding.</w:t>
      </w:r>
    </w:p>
    <w:p>
      <w:r>
        <w:pict>
          <v:rect style="width:0;height:1.5pt" o:hralign="center" o:hrstd="t" o:hr="t"/>
        </w:pict>
      </w:r>
    </w:p>
    <w:bookmarkEnd w:id="23"/>
    <w:bookmarkStart w:id="24" w:name="X07dbe769897ace8e7dc00d4fde2c49000797c88"/>
    <w:p>
      <w:pPr>
        <w:pStyle w:val="Heading2"/>
      </w:pPr>
      <w:r>
        <w:t xml:space="preserve">SECTION 12. LIMITATION OF LIABILITY (BINDING)</w:t>
      </w:r>
    </w:p>
    <w:p>
      <w:pPr>
        <w:pStyle w:val="FirstParagraph"/>
      </w:pPr>
      <w:r>
        <w:t xml:space="preserve">12.1 Because this LOI is non-binding as to the pilot itself and the pilot is provided at no cost, neither party accepts liability to the other for any loss, disruption, or outcome arising from participation in or discontinuation of the pilot, except for breach of the binding Sections identified in Section 2.3.</w:t>
      </w:r>
    </w:p>
    <w:p>
      <w:pPr>
        <w:pStyle w:val="BodyText"/>
      </w:pPr>
      <w:r>
        <w:t xml:space="preserve">12.2 The Product is provided during the pilot on an</w:t>
      </w:r>
      <w:r>
        <w:t xml:space="preserve"> </w:t>
      </w:r>
      <w:r>
        <w:t xml:space="preserve">“as-is”</w:t>
      </w:r>
      <w:r>
        <w:t xml:space="preserve"> </w:t>
      </w:r>
      <w:r>
        <w:t xml:space="preserve">basis for evaluation purposes, which is standard practice for a no-cost pilot. STTIL Solutions makes no warranty as to fitness for a particular purpose or specific outcomes during the pilot period.</w:t>
      </w:r>
    </w:p>
    <w:p>
      <w:pPr>
        <w:pStyle w:val="BodyText"/>
      </w:pPr>
      <w:r>
        <w:t xml:space="preserve">12.3</w:t>
      </w:r>
      <w:r>
        <w:t xml:space="preserve"> </w:t>
      </w:r>
      <w:r>
        <w:rPr>
          <w:b/>
          <w:bCs/>
        </w:rPr>
        <w:t xml:space="preserve">Mutual exclusion of consequential damages.</w:t>
      </w:r>
      <w:r>
        <w:t xml:space="preserve"> </w:t>
      </w:r>
      <w:r>
        <w:t xml:space="preserve">To the maximum extent permitted by law, neither party will be liable to the other for any indirect, incidental, special, consequential, exemplary, or punitive damages, or for lost profits, lost revenue, lost or corrupted data, or business interruption, arising out of or relating to this LOI or the pilot, whether in contract, tort, or otherwise, even if the party has been advised of the possibility of such damages. This exclusion applies to both parties equally.</w:t>
      </w:r>
    </w:p>
    <w:p>
      <w:pPr>
        <w:pStyle w:val="BodyText"/>
      </w:pPr>
      <w:r>
        <w:t xml:space="preserve">12.4 This Section does not limit the binding obligations of Sections 8, 9, and 10, or either party’s liability for its own willful misconduct.</w:t>
      </w:r>
    </w:p>
    <w:p>
      <w:pPr>
        <w:pStyle w:val="BodyText"/>
      </w:pPr>
      <w:r>
        <w:rPr>
          <w:i/>
          <w:iCs/>
        </w:rPr>
        <w:t xml:space="preserve">This Section 12 is binding.</w:t>
      </w:r>
    </w:p>
    <w:p>
      <w:r>
        <w:pict>
          <v:rect style="width:0;height:1.5pt" o:hralign="center" o:hrstd="t" o:hr="t"/>
        </w:pict>
      </w:r>
    </w:p>
    <w:bookmarkEnd w:id="24"/>
    <w:bookmarkStart w:id="25" w:name="section-13.-path-to-full-agreement"/>
    <w:p>
      <w:pPr>
        <w:pStyle w:val="Heading2"/>
      </w:pPr>
      <w:r>
        <w:t xml:space="preserve">SECTION 13. PATH TO FULL AGREEMENT</w:t>
      </w:r>
    </w:p>
    <w:p>
      <w:pPr>
        <w:pStyle w:val="FirstParagraph"/>
      </w:pPr>
      <w:r>
        <w:t xml:space="preserve">13.1 If both parties wish to proceed to a commercial relationship following the pilot, STTIL Solutions will provide a proposed software subscription agreement within 30 days of the closing review meeting described in Section 4.2.</w:t>
      </w:r>
    </w:p>
    <w:p>
      <w:pPr>
        <w:pStyle w:val="BodyText"/>
      </w:pPr>
      <w:r>
        <w:t xml:space="preserve">13.2 A full commercial agreement will address: (a) subscription pricing and payment terms; (b) service level commitments; (c) data processing terms; (d) a BAA, if applicable; (e) support and maintenance scope; and (f) any agreed product modifications.</w:t>
      </w:r>
    </w:p>
    <w:p>
      <w:pPr>
        <w:pStyle w:val="BodyText"/>
      </w:pPr>
      <w:r>
        <w:t xml:space="preserve">13.3</w:t>
      </w:r>
      <w:r>
        <w:t xml:space="preserve"> </w:t>
      </w:r>
      <w:r>
        <w:rPr>
          <w:b/>
          <w:bCs/>
        </w:rPr>
        <w:t xml:space="preserve">No duty to negotiate, no reliance.</w:t>
      </w:r>
      <w:r>
        <w:t xml:space="preserve"> </w:t>
      </w:r>
      <w:r>
        <w:t xml:space="preserve">Proceeding to a full agreement is entirely at the discretion of both parties. Neither party is obligated to continue negotiations, to negotiate in good faith toward a definitive agreement, or to enter into any definitive agreement. Meeting the success criteria in Section 6 does not obligate either party to proceed. Each party acknowledges that it is not relying on this LOI as a promise that any transaction will occur, that any feature will be delivered by any date, or that any commercial term discussed will be available in a final agreement. Either party may discontinue discussions at any time, with or without cause, without liability arising from the failure to proceed.</w:t>
      </w:r>
    </w:p>
    <w:p>
      <w:r>
        <w:pict>
          <v:rect style="width:0;height:1.5pt" o:hralign="center" o:hrstd="t" o:hr="t"/>
        </w:pict>
      </w:r>
    </w:p>
    <w:bookmarkEnd w:id="25"/>
    <w:bookmarkStart w:id="26" w:name="section-14.-dispute-resolution-binding"/>
    <w:p>
      <w:pPr>
        <w:pStyle w:val="Heading2"/>
      </w:pPr>
      <w:r>
        <w:t xml:space="preserve">SECTION 14. DISPUTE RESOLUTION (BINDING)</w:t>
      </w:r>
    </w:p>
    <w:p>
      <w:pPr>
        <w:pStyle w:val="FirstParagraph"/>
      </w:pPr>
      <w:r>
        <w:t xml:space="preserve">14.1 Before pursuing any formal proceeding, the parties will first attempt to resolve any dispute arising out of or relating to this LOI through good-faith discussion between senior representatives for 30 days following written notice of the dispute.</w:t>
      </w:r>
    </w:p>
    <w:p>
      <w:pPr>
        <w:pStyle w:val="BodyText"/>
      </w:pPr>
      <w:r>
        <w:t xml:space="preserve">14.2 If a dispute remains unresolved after that period, the parties will resolve it through binding arbitration administered by a mutually agreed arbitration provider. If the parties cannot agree on a provider within 15 days of the dispute notice, either party may commence arbitration through the American Arbitration Association under its then-current Commercial Arbitration Rules. Arbitration may be conducted remotely.</w:t>
      </w:r>
    </w:p>
    <w:p>
      <w:pPr>
        <w:pStyle w:val="BodyText"/>
      </w:pPr>
      <w:r>
        <w:t xml:space="preserve">14.3 Nothing in this Section prevents either party from seeking emergency injunctive or other equitable relief from a court of competent jurisdiction to prevent irreparable harm, including to enforce Sections 8, 9, and 10.</w:t>
      </w:r>
    </w:p>
    <w:p>
      <w:pPr>
        <w:pStyle w:val="BodyText"/>
      </w:pPr>
      <w:r>
        <w:rPr>
          <w:i/>
          <w:iCs/>
        </w:rPr>
        <w:t xml:space="preserve">This Section 14 is binding.</w:t>
      </w:r>
    </w:p>
    <w:p>
      <w:r>
        <w:pict>
          <v:rect style="width:0;height:1.5pt" o:hralign="center" o:hrstd="t" o:hr="t"/>
        </w:pict>
      </w:r>
    </w:p>
    <w:bookmarkEnd w:id="26"/>
    <w:bookmarkStart w:id="27" w:name="section-15.-general-terms"/>
    <w:p>
      <w:pPr>
        <w:pStyle w:val="Heading2"/>
      </w:pPr>
      <w:r>
        <w:t xml:space="preserve">SECTION 15. GENERAL TERMS</w:t>
      </w:r>
    </w:p>
    <w:p>
      <w:pPr>
        <w:pStyle w:val="FirstParagraph"/>
      </w:pPr>
      <w:r>
        <w:t xml:space="preserve">15.1</w:t>
      </w:r>
      <w:r>
        <w:t xml:space="preserve"> </w:t>
      </w:r>
      <w:r>
        <w:rPr>
          <w:b/>
          <w:bCs/>
        </w:rPr>
        <w:t xml:space="preserve">Entire understanding.</w:t>
      </w:r>
      <w:r>
        <w:t xml:space="preserve"> </w:t>
      </w:r>
      <w:r>
        <w:t xml:space="preserve">This LOI represents the complete understanding between the parties regarding the pilot and supersedes any prior verbal discussions, except for any separate non-disclosure agreement signed by the parties, which continues to govern Confidential Information to the extent not inconsistent with this LOI.</w:t>
      </w:r>
    </w:p>
    <w:p>
      <w:pPr>
        <w:pStyle w:val="BodyText"/>
      </w:pPr>
      <w:r>
        <w:t xml:space="preserve">15.2</w:t>
      </w:r>
      <w:r>
        <w:t xml:space="preserve"> </w:t>
      </w:r>
      <w:r>
        <w:rPr>
          <w:b/>
          <w:bCs/>
        </w:rPr>
        <w:t xml:space="preserve">Governing law (BINDING).</w:t>
      </w:r>
      <w:r>
        <w:t xml:space="preserve"> </w:t>
      </w:r>
      <w:r>
        <w:t xml:space="preserve">This LOI is governed by the laws of the State of [STATE, confirm formation state with counsel], without regard to conflict of law principles.</w:t>
      </w:r>
    </w:p>
    <w:p>
      <w:pPr>
        <w:pStyle w:val="BodyText"/>
      </w:pPr>
      <w:r>
        <w:t xml:space="preserve">15.3</w:t>
      </w:r>
      <w:r>
        <w:t xml:space="preserve"> </w:t>
      </w:r>
      <w:r>
        <w:rPr>
          <w:b/>
          <w:bCs/>
        </w:rPr>
        <w:t xml:space="preserve">Amendments.</w:t>
      </w:r>
      <w:r>
        <w:t xml:space="preserve"> </w:t>
      </w:r>
      <w:r>
        <w:t xml:space="preserve">Any modification to this LOI must be in writing and signed by authorized representatives of both parties.</w:t>
      </w:r>
    </w:p>
    <w:p>
      <w:pPr>
        <w:pStyle w:val="BodyText"/>
      </w:pPr>
      <w:r>
        <w:t xml:space="preserve">15.4</w:t>
      </w:r>
      <w:r>
        <w:t xml:space="preserve"> </w:t>
      </w:r>
      <w:r>
        <w:rPr>
          <w:b/>
          <w:bCs/>
        </w:rPr>
        <w:t xml:space="preserve">Counterparts.</w:t>
      </w:r>
      <w:r>
        <w:t xml:space="preserve"> </w:t>
      </w:r>
      <w:r>
        <w:t xml:space="preserve">This LOI may be executed in counterparts, including by electronic signature, each of which will be considered an original.</w:t>
      </w:r>
    </w:p>
    <w:p>
      <w:pPr>
        <w:pStyle w:val="BodyText"/>
      </w:pPr>
      <w:r>
        <w:t xml:space="preserve">15.5</w:t>
      </w:r>
      <w:r>
        <w:t xml:space="preserve"> </w:t>
      </w:r>
      <w:r>
        <w:rPr>
          <w:b/>
          <w:bCs/>
        </w:rPr>
        <w:t xml:space="preserve">Assignment.</w:t>
      </w:r>
      <w:r>
        <w:t xml:space="preserve"> </w:t>
      </w:r>
      <w:r>
        <w:t xml:space="preserve">Neither party may assign this LOI without the other party’s prior written consent, except that either party may assign it without consent to a successor in a merger, reorganization, or sale of substantially all of its assets, provided the successor assumes the assigning party’s obligations under the binding provisions.</w:t>
      </w:r>
    </w:p>
    <w:p>
      <w:r>
        <w:pict>
          <v:rect style="width:0;height:1.5pt" o:hralign="center" o:hrstd="t" o:hr="t"/>
        </w:pict>
      </w:r>
    </w:p>
    <w:bookmarkEnd w:id="27"/>
    <w:bookmarkStart w:id="28" w:name="signatures"/>
    <w:p>
      <w:pPr>
        <w:pStyle w:val="Heading2"/>
      </w:pPr>
      <w:r>
        <w:t xml:space="preserve">SIGNATURES</w:t>
      </w:r>
    </w:p>
    <w:p>
      <w:pPr>
        <w:pStyle w:val="FirstParagraph"/>
      </w:pPr>
      <w:r>
        <w:rPr>
          <w:b/>
          <w:bCs/>
        </w:rPr>
        <w:t xml:space="preserve">KJF Professional Services LLC d/b/a STTIL Solutions</w:t>
      </w:r>
    </w:p>
    <w:p>
      <w:pPr>
        <w:pStyle w:val="BodyText"/>
      </w:pPr>
      <w:r>
        <w:t xml:space="preserve">Signature: _______________________________</w:t>
      </w:r>
      <w:r>
        <w:t xml:space="preserve"> </w:t>
      </w:r>
      <w:r>
        <w:t xml:space="preserve">Name: Kisa Fenn</w:t>
      </w:r>
      <w:r>
        <w:t xml:space="preserve"> </w:t>
      </w:r>
      <w:r>
        <w:t xml:space="preserve">Title: Founder and CEO</w:t>
      </w:r>
      <w:r>
        <w:t xml:space="preserve"> </w:t>
      </w:r>
      <w:r>
        <w:t xml:space="preserve">Date: ___________________________________</w:t>
      </w:r>
      <w:r>
        <w:t xml:space="preserve"> </w:t>
      </w:r>
      <w:r>
        <w:t xml:space="preserve">Email: [KISA EMAIL]</w:t>
      </w:r>
    </w:p>
    <w:p>
      <w:pPr>
        <w:pStyle w:val="BodyText"/>
      </w:pPr>
      <w:r>
        <w:rPr>
          <w:b/>
          <w:bCs/>
        </w:rPr>
        <w:t xml:space="preserve">[PILOT PARTNER FULL LEGAL NAME]</w:t>
      </w:r>
    </w:p>
    <w:p>
      <w:pPr>
        <w:pStyle w:val="BodyText"/>
      </w:pPr>
      <w:r>
        <w:t xml:space="preserve">Signature: _______________________________</w:t>
      </w:r>
      <w:r>
        <w:t xml:space="preserve"> </w:t>
      </w:r>
      <w:r>
        <w:t xml:space="preserve">Name: [CONTACT NAME]</w:t>
      </w:r>
      <w:r>
        <w:t xml:space="preserve"> </w:t>
      </w:r>
      <w:r>
        <w:t xml:space="preserve">Title: [CONTACT TITLE]</w:t>
      </w:r>
      <w:r>
        <w:t xml:space="preserve"> </w:t>
      </w:r>
      <w:r>
        <w:t xml:space="preserve">Date: ___________________________________</w:t>
      </w:r>
      <w:r>
        <w:t xml:space="preserve"> </w:t>
      </w:r>
      <w:r>
        <w:t xml:space="preserve">Email: [CONTACT EMAIL]</w:t>
      </w:r>
    </w:p>
    <w:p>
      <w:r>
        <w:pict>
          <v:rect style="width:0;height:1.5pt" o:hralign="center" o:hrstd="t" o:hr="t"/>
        </w:pict>
      </w:r>
    </w:p>
    <w:bookmarkEnd w:id="28"/>
    <w:bookmarkStart w:id="29" w:name="exhibit-a-product-and-data-scope"/>
    <w:p>
      <w:pPr>
        <w:pStyle w:val="Heading2"/>
      </w:pPr>
      <w:r>
        <w:t xml:space="preserve">EXHIBIT A, PRODUCT AND DATA SCOPE</w:t>
      </w:r>
    </w:p>
    <w:p>
      <w:pPr>
        <w:pStyle w:val="FirstParagraph"/>
      </w:pPr>
      <w:r>
        <w:rPr>
          <w:i/>
          <w:iCs/>
        </w:rPr>
        <w:t xml:space="preserve">This Exhibit is specific to the Product piloted under this LOI. The body of the LOI is product-agnostic. This Exhibit is pre-filled for Signal. For a different STTIL Solutions product, replace this Exhibit only.</w:t>
      </w:r>
    </w:p>
    <w:p>
      <w:pPr>
        <w:pStyle w:val="BodyText"/>
      </w:pPr>
      <w:r>
        <w:rPr>
          <w:b/>
          <w:bCs/>
        </w:rPr>
        <w:t xml:space="preserve">A.1 Product.</w:t>
      </w:r>
      <w:r>
        <w:t xml:space="preserve"> </w:t>
      </w:r>
      <w:r>
        <w:t xml:space="preserve">Signal, a documentation readiness platform for DMEPOS suppliers, billing companies, and revenue cycle firms.</w:t>
      </w:r>
    </w:p>
    <w:p>
      <w:pPr>
        <w:pStyle w:val="BodyText"/>
      </w:pPr>
      <w:r>
        <w:rPr>
          <w:b/>
          <w:bCs/>
        </w:rPr>
        <w:t xml:space="preserve">A.2 What Signal does.</w:t>
      </w:r>
      <w:r>
        <w:t xml:space="preserve"> </w:t>
      </w:r>
      <w:r>
        <w:t xml:space="preserve">Signal ingests supplier order and shipment data exported as a CSV from the supplier’s existing order-management system (for example, Brightree or an equivalent). For each record it checks whether the payer’s documentation requirements for reimbursement are satisfied, including recency of the 6-month qualifying visit, prescriber PECOS enrollment, presence of a standard written order (SWO), and resupply eligibility timing. It produces a prioritized worklist that shows supplier staff which records have documentation gaps to resolve, and provides a dashboard view of the population’s documentation readiness status. Each flag carries a reason string stating the rule applied and the client-supplied inputs it was computed from, plus a rule version identifier.</w:t>
      </w:r>
    </w:p>
    <w:p>
      <w:pPr>
        <w:pStyle w:val="BodyText"/>
      </w:pPr>
      <w:r>
        <w:rPr>
          <w:b/>
          <w:bCs/>
        </w:rPr>
        <w:t xml:space="preserve">A.3 What Signal does not do.</w:t>
      </w:r>
      <w:r>
        <w:t xml:space="preserve"> </w:t>
      </w:r>
      <w:r>
        <w:t xml:space="preserve">Signal identifies documentation gaps and produces worklists. It does not contact patients, contact prescribers, submit claims, determine eligibility or coverage, or take any action in the supplier’s name. It does not receive or analyze CGM sensor data, glucose values, or any physiological measurement. It applies documentation rules to client-supplied data. Plan type and every other input are client-supplied and never guessed. All outreach and remediation decisions remain with supplier staff.</w:t>
      </w:r>
    </w:p>
    <w:p>
      <w:pPr>
        <w:pStyle w:val="BodyText"/>
      </w:pPr>
      <w:r>
        <w:rPr>
          <w:b/>
          <w:bCs/>
        </w:rPr>
        <w:t xml:space="preserve">A.4 Hosting and environment.</w:t>
      </w:r>
      <w:r>
        <w:t xml:space="preserve"> </w:t>
      </w:r>
      <w:r>
        <w:t xml:space="preserve">During the pilot, Signal runs on its current pilot stack (Railway for the backend API, Supabase for database persistence with organization-scoped row-level security, Clerk for staff authentication, Vercel for the frontend). Each pilot organization accesses a segregated, organization-scoped environment. Real protected health information is not used during the pilot. If the parties later move to a data exchange requiring PHI, Signal migrates to a BAA-capable hosting environment before any such data is processed, and the parties execute the BAA referenced in Section 5.3 first.</w:t>
      </w:r>
    </w:p>
    <w:p>
      <w:pPr>
        <w:pStyle w:val="BodyText"/>
      </w:pPr>
      <w:r>
        <w:rPr>
          <w:b/>
          <w:bCs/>
        </w:rPr>
        <w:t xml:space="preserve">A.5 Minimum-necessary data received.</w:t>
      </w:r>
      <w:r>
        <w:t xml:space="preserve"> </w:t>
      </w:r>
      <w:r>
        <w:t xml:space="preserve">The calculation layer receives only: the supplier’s internal patient identifier (patient_id, the supplier’s own MRN or account number and the sole crosswalk key), device type, shipment date or date of service, quantity, and payer name. The supplier may optionally include documentation-status fields (for example SWO status, visit date, PECOS verified, prior authorization status, diagnosis-on-file flag). Signal’s normalizer rejects and discards patient names, dates of birth, Social Security numbers, addresses, contact information, insurance member IDs, and clinical notes even if present in the uploaded file. patient_id is hashed before storage and in all logs. Raw CSV bytes are discarded after processing.</w:t>
      </w:r>
    </w:p>
    <w:p>
      <w:pPr>
        <w:pStyle w:val="BodyText"/>
      </w:pPr>
      <w:r>
        <w:rPr>
          <w:b/>
          <w:bCs/>
        </w:rPr>
        <w:t xml:space="preserve">A.6 Success-criteria framework for Signal.</w:t>
      </w:r>
      <w:r>
        <w:t xml:space="preserve"> </w:t>
      </w:r>
      <w:r>
        <w:t xml:space="preserve">- Worklist accuracy: percentage of worklist items confirmed by supplier staff as actionable. Target set at onboarding.</w:t>
      </w:r>
      <w:r>
        <w:t xml:space="preserve"> </w:t>
      </w:r>
      <w:r>
        <w:t xml:space="preserve">- Documentation gap identification rate: number of gaps surfaced by Signal that the supplier was not previously tracking. Baseline established at onboarding.</w:t>
      </w:r>
      <w:r>
        <w:t xml:space="preserve"> </w:t>
      </w:r>
      <w:r>
        <w:t xml:space="preserve">- Staff usability: qualitative assessment of the worklist interface at the 45-day and 90-day marks.</w:t>
      </w:r>
      <w:r>
        <w:t xml:space="preserve"> </w:t>
      </w:r>
      <w:r>
        <w:t xml:space="preserve">- Time-to-worklist: time from CSV submission to worklist availability. Target set at onboarding.</w:t>
      </w:r>
      <w:r>
        <w:t xml:space="preserve"> </w:t>
      </w:r>
      <w:r>
        <w:t xml:space="preserve">- Metric scope: Signal measures documentation readiness rate. It does not measure or warrant clean-claim rate, denial rate, or revenue outcomes. Any downstream claim improvement is trackable but is not guaranteed, and this limitation is stated in Section 6.2.</w:t>
      </w:r>
    </w:p>
    <w:p>
      <w:r>
        <w:pict>
          <v:rect style="width:0;height:1.5pt" o:hralign="center" o:hrstd="t" o:hr="t"/>
        </w:pict>
      </w:r>
    </w:p>
    <w:bookmarkEnd w:id="29"/>
    <w:bookmarkStart w:id="30"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Focused review questions:</w:t>
      </w:r>
    </w:p>
    <w:p>
      <w:pPr>
        <w:numPr>
          <w:ilvl w:val="0"/>
          <w:numId w:val="1001"/>
        </w:numPr>
      </w:pPr>
      <w:r>
        <w:rPr>
          <w:b/>
          <w:bCs/>
        </w:rPr>
        <w:t xml:space="preserve">Entity name and formation state (GRAFTED).</w:t>
      </w:r>
      <w:r>
        <w:t xml:space="preserve"> </w:t>
      </w:r>
      <w:r>
        <w:t xml:space="preserve">The parties block names the entity</w:t>
      </w:r>
      <w:r>
        <w:t xml:space="preserve"> </w:t>
      </w:r>
      <w:r>
        <w:t xml:space="preserve">“KJF Professional Services LLC d/b/a STTIL Solutions”</w:t>
      </w:r>
      <w:r>
        <w:t xml:space="preserve"> </w:t>
      </w:r>
      <w:r>
        <w:t xml:space="preserve">and leaves formation state as a placeholder. The v1 template said</w:t>
      </w:r>
      <w:r>
        <w:t xml:space="preserve"> </w:t>
      </w:r>
      <w:r>
        <w:t xml:space="preserve">“STTIL Solutions LLC, organized in Delaware”</w:t>
      </w:r>
      <w:r>
        <w:t xml:space="preserve">; an executed LOI dated 2026-06-12 states</w:t>
      </w:r>
      <w:r>
        <w:t xml:space="preserve"> </w:t>
      </w:r>
      <w:r>
        <w:t xml:space="preserve">“KJF Professional Services LLC, a Florida limited liability company”</w:t>
      </w:r>
      <w:r>
        <w:t xml:space="preserve">; a prior supplier-specific BAA governs under Pennsylvania. Counsel to confirm the correct legal name and formation state and align governing law (Section 15.2) and dispute resolution (Section 14) across the LOI, NDA, and BAA. GROUNDED that these three documents currently disagree; the correct answer is GRAFTED.</w:t>
      </w:r>
    </w:p>
    <w:p>
      <w:pPr>
        <w:numPr>
          <w:ilvl w:val="0"/>
          <w:numId w:val="1001"/>
        </w:numPr>
      </w:pPr>
      <w:r>
        <w:rPr>
          <w:b/>
          <w:bCs/>
        </w:rPr>
        <w:t xml:space="preserve">Section 5.3, BAA determination (GRAFTED as applied).</w:t>
      </w:r>
      <w:r>
        <w:t xml:space="preserve"> </w:t>
      </w:r>
      <w:r>
        <w:t xml:space="preserve">Whether Signal’s receipt of the supplier’s internal patient_id (an account number, one of HIPAA’s 18 identifiers) makes STTIL a Business Associate is the load-bearing open question, carried in full in the BAA template. GROUNDED that patient_id is an account number and the sole crosswalk key (Signal CLAUDE.md, PHI Architecture); GRAFTED whether that triggers BAA obligations.</w:t>
      </w:r>
    </w:p>
    <w:p>
      <w:pPr>
        <w:numPr>
          <w:ilvl w:val="0"/>
          <w:numId w:val="1001"/>
        </w:numPr>
      </w:pPr>
      <w:r>
        <w:rPr>
          <w:b/>
          <w:bCs/>
        </w:rPr>
        <w:t xml:space="preserve">Section 8.3, work product and customizations (GRAFTED as applied).</w:t>
      </w:r>
      <w:r>
        <w:t xml:space="preserve"> </w:t>
      </w:r>
      <w:r>
        <w:t xml:space="preserve">New in v3 at STTIL’s direction. Counsel to confirm the assignment language is enforceable and that Section 8.4 (Partner Concepts) does not undercut STTIL’s ownership of modifications. The statutory hooks are GROUNDED; enforceability as applied is GRAFTED.</w:t>
      </w:r>
    </w:p>
    <w:p>
      <w:pPr>
        <w:numPr>
          <w:ilvl w:val="0"/>
          <w:numId w:val="1001"/>
        </w:numPr>
      </w:pPr>
      <w:r>
        <w:rPr>
          <w:b/>
          <w:bCs/>
        </w:rPr>
        <w:t xml:space="preserve">Section 12.3, mutual consequential damages exclusion (GRAFTED as applied).</w:t>
      </w:r>
      <w:r>
        <w:t xml:space="preserve"> </w:t>
      </w:r>
      <w:r>
        <w:t xml:space="preserve">New in v3. Counsel to confirm the exclusion is adequate and enforceable for a no-cost pilot, particularly if a partner later claims a worklist output disrupted billing operations.</w:t>
      </w:r>
    </w:p>
    <w:p>
      <w:pPr>
        <w:numPr>
          <w:ilvl w:val="0"/>
          <w:numId w:val="1001"/>
        </w:numPr>
      </w:pPr>
      <w:r>
        <w:rPr>
          <w:b/>
          <w:bCs/>
        </w:rPr>
        <w:t xml:space="preserve">Section 14, arbitration versus litigation (GRAFTED, strategy call).</w:t>
      </w:r>
      <w:r>
        <w:t xml:space="preserve"> </w:t>
      </w:r>
      <w:r>
        <w:t xml:space="preserve">Folded in from the a prior counterparty negotiation, where an out-of-state counterparty objected to exclusive Delaware court jurisdiction. Arbitration reduces friction for out-of-state partners but differs from the court-based enforcement in the NDA (Article 9 and 10.2). Counsel to decide whether to keep arbitration here and align the two documents.</w:t>
      </w:r>
    </w:p>
    <w:p>
      <w:pPr>
        <w:numPr>
          <w:ilvl w:val="0"/>
          <w:numId w:val="1001"/>
        </w:numPr>
      </w:pPr>
      <w:r>
        <w:rPr>
          <w:b/>
          <w:bCs/>
        </w:rPr>
        <w:t xml:space="preserve">Section 9.4 residuals carve-out (GRAFTED as applied).</w:t>
      </w:r>
      <w:r>
        <w:t xml:space="preserve"> </w:t>
      </w:r>
      <w:r>
        <w:t xml:space="preserve">Carries the algorithms/payer-logic/scoring-formula carve-out from the NDA. Counsel to confirm it is enforceable as written.</w:t>
      </w:r>
    </w:p>
    <w:p>
      <w:pPr>
        <w:numPr>
          <w:ilvl w:val="0"/>
          <w:numId w:val="1001"/>
        </w:numPr>
      </w:pPr>
      <w:r>
        <w:rPr>
          <w:b/>
          <w:bCs/>
        </w:rPr>
        <w:t xml:space="preserve">Sections 6.1 and 13.3, promissory estoppel guard (GRAFTED as applied).</w:t>
      </w:r>
      <w:r>
        <w:t xml:space="preserve"> </w:t>
      </w:r>
      <w:r>
        <w:t xml:space="preserve">Confirms meeting criteria does not obligate STTIL to offer a commercial agreement, and adds an explicit no-reliance clause. Counsel to confirm this removes promissory-estoppel exposure.</w:t>
      </w:r>
    </w:p>
    <w:p>
      <w:pPr>
        <w:numPr>
          <w:ilvl w:val="0"/>
          <w:numId w:val="1001"/>
        </w:numPr>
      </w:pPr>
      <w:r>
        <w:rPr>
          <w:b/>
          <w:bCs/>
        </w:rPr>
        <w:t xml:space="preserve">AT A GLANCE table.</w:t>
      </w:r>
      <w:r>
        <w:t xml:space="preserve"> </w:t>
      </w:r>
      <w:r>
        <w:t xml:space="preserve">Retained as a plain-language differentiator. It is expressly marked non-controlling. Counsel to confirm the disclaimer is sufficient so the table cannot be read as varying the operative terms.</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STTIL-NDA-template-v3, STTIL-BAA-template-v1</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2026-07-07T09:31:57Z</dcterms:created>
  <dcterms:modified xsi:type="dcterms:W3CDTF">2026-07-07T09:31:57Z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2026-07-07</vt:lpwstr>
  </property>
  <property fmtid="{D5CDD505-2E9C-101B-9397-08002B2CF9AE}" pid="3" name="status">
    <vt:lpwstr>draft, pending attorney review</vt:lpwstr>
  </property>
  <property fmtid="{D5CDD505-2E9C-101B-9397-08002B2CF9AE}" pid="4" name="supersedes">
    <vt:lpwstr>STTIL-pilot-LOI-template-v1 (labeled v2 internally)</vt:lpwstr>
  </property>
  <property fmtid="{D5CDD505-2E9C-101B-9397-08002B2CF9AE}" pid="5" name="tags">
    <vt:lpwstr/>
  </property>
  <property fmtid="{D5CDD505-2E9C-101B-9397-08002B2CF9AE}" pid="6" name="type">
    <vt:lpwstr>legal-template</vt:lpwstr>
  </property>
  <property fmtid="{D5CDD505-2E9C-101B-9397-08002B2CF9AE}" pid="7" name="version">
    <vt:lpwstr>3, portfolio generalization + a prior counterparty negotiation learnings folded in 2026-07-07</vt:lpwstr>
  </property>
</Properties>
</file>